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20" w:rsidRDefault="003370D2" w:rsidP="003370D2">
      <w:pPr>
        <w:jc w:val="center"/>
        <w:rPr>
          <w:rFonts w:ascii="Arial" w:hAnsi="Arial" w:cs="Arial"/>
          <w:sz w:val="24"/>
          <w:szCs w:val="24"/>
        </w:rPr>
      </w:pPr>
      <w:r>
        <w:rPr>
          <w:rFonts w:ascii="Arial" w:hAnsi="Arial" w:cs="Arial"/>
          <w:sz w:val="24"/>
          <w:szCs w:val="24"/>
        </w:rPr>
        <w:t>Christian Gnahoua</w:t>
      </w: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r>
        <w:rPr>
          <w:rFonts w:ascii="Arial" w:hAnsi="Arial" w:cs="Arial"/>
          <w:sz w:val="24"/>
          <w:szCs w:val="24"/>
        </w:rPr>
        <w:t>Projet de session Macroéconomie</w:t>
      </w: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r>
        <w:rPr>
          <w:rFonts w:ascii="Arial" w:hAnsi="Arial" w:cs="Arial"/>
          <w:sz w:val="24"/>
          <w:szCs w:val="24"/>
        </w:rPr>
        <w:t>Travail présenté à Mme Denyse Dame</w:t>
      </w: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p>
    <w:p w:rsidR="003370D2" w:rsidRDefault="003370D2" w:rsidP="003370D2">
      <w:pPr>
        <w:jc w:val="center"/>
        <w:rPr>
          <w:rFonts w:ascii="Arial" w:hAnsi="Arial" w:cs="Arial"/>
          <w:sz w:val="24"/>
          <w:szCs w:val="24"/>
        </w:rPr>
      </w:pPr>
      <w:r>
        <w:rPr>
          <w:rFonts w:ascii="Arial" w:hAnsi="Arial" w:cs="Arial"/>
          <w:sz w:val="24"/>
          <w:szCs w:val="24"/>
        </w:rPr>
        <w:t>Collège LaSalle</w:t>
      </w:r>
    </w:p>
    <w:p w:rsidR="003370D2" w:rsidRPr="003370D2" w:rsidRDefault="003370D2" w:rsidP="003370D2">
      <w:pPr>
        <w:jc w:val="center"/>
        <w:rPr>
          <w:rFonts w:ascii="Arial" w:hAnsi="Arial" w:cs="Arial"/>
          <w:sz w:val="24"/>
          <w:szCs w:val="24"/>
        </w:rPr>
      </w:pPr>
      <w:r>
        <w:rPr>
          <w:rFonts w:ascii="Arial" w:hAnsi="Arial" w:cs="Arial"/>
          <w:sz w:val="24"/>
          <w:szCs w:val="24"/>
        </w:rPr>
        <w:t>11 Novembre 2016</w:t>
      </w:r>
    </w:p>
    <w:p w:rsidR="003516F2" w:rsidRDefault="003516F2"/>
    <w:p w:rsidR="003516F2" w:rsidRDefault="003516F2" w:rsidP="003516F2">
      <w:pPr>
        <w:spacing w:line="480" w:lineRule="auto"/>
        <w:rPr>
          <w:rFonts w:ascii="Arial" w:hAnsi="Arial" w:cs="Arial"/>
          <w:b/>
        </w:rPr>
      </w:pPr>
      <w:r w:rsidRPr="00F00B96">
        <w:rPr>
          <w:rFonts w:ascii="Arial" w:hAnsi="Arial" w:cs="Arial"/>
          <w:b/>
        </w:rPr>
        <w:lastRenderedPageBreak/>
        <w:t>Question 1</w:t>
      </w:r>
    </w:p>
    <w:p w:rsidR="000437DF" w:rsidRPr="00F00B96" w:rsidRDefault="000437DF" w:rsidP="003516F2">
      <w:pPr>
        <w:spacing w:line="480" w:lineRule="auto"/>
        <w:rPr>
          <w:rFonts w:ascii="Arial" w:hAnsi="Arial" w:cs="Arial"/>
          <w:b/>
        </w:rPr>
      </w:pPr>
    </w:p>
    <w:p w:rsidR="00B04482" w:rsidRPr="00FD20D3" w:rsidRDefault="00D45A54" w:rsidP="003516F2">
      <w:pPr>
        <w:spacing w:line="480" w:lineRule="auto"/>
        <w:rPr>
          <w:rFonts w:ascii="Arial" w:hAnsi="Arial" w:cs="Arial"/>
          <w:sz w:val="20"/>
          <w:szCs w:val="20"/>
        </w:rPr>
      </w:pPr>
      <w:r w:rsidRPr="00FD20D3">
        <w:rPr>
          <w:rFonts w:ascii="Arial" w:hAnsi="Arial" w:cs="Arial"/>
          <w:sz w:val="20"/>
          <w:szCs w:val="20"/>
        </w:rPr>
        <w:t>Identifier 3 mesures</w:t>
      </w:r>
      <w:r w:rsidR="00F45D48">
        <w:rPr>
          <w:rFonts w:ascii="Arial" w:hAnsi="Arial" w:cs="Arial"/>
          <w:sz w:val="20"/>
          <w:szCs w:val="20"/>
        </w:rPr>
        <w:t xml:space="preserve"> du budget 2016 du Canada</w:t>
      </w:r>
      <w:r w:rsidRPr="00FD20D3">
        <w:rPr>
          <w:rFonts w:ascii="Arial" w:hAnsi="Arial" w:cs="Arial"/>
          <w:sz w:val="20"/>
          <w:szCs w:val="20"/>
        </w:rPr>
        <w:t xml:space="preserve"> et expliquez comment elles peuvent contribuer </w:t>
      </w:r>
      <w:r w:rsidR="007A207C" w:rsidRPr="00FD20D3">
        <w:rPr>
          <w:rFonts w:ascii="Arial" w:hAnsi="Arial" w:cs="Arial"/>
          <w:sz w:val="20"/>
          <w:szCs w:val="20"/>
        </w:rPr>
        <w:t>à</w:t>
      </w:r>
      <w:r w:rsidRPr="00FD20D3">
        <w:rPr>
          <w:rFonts w:ascii="Arial" w:hAnsi="Arial" w:cs="Arial"/>
          <w:sz w:val="20"/>
          <w:szCs w:val="20"/>
        </w:rPr>
        <w:t xml:space="preserve"> la croissance économique et à la création d’emplois</w:t>
      </w:r>
    </w:p>
    <w:p w:rsidR="00B20434" w:rsidRPr="00FD20D3" w:rsidRDefault="005D6304" w:rsidP="005D6304">
      <w:pPr>
        <w:pStyle w:val="Paragraphedeliste"/>
        <w:numPr>
          <w:ilvl w:val="0"/>
          <w:numId w:val="2"/>
        </w:numPr>
        <w:spacing w:line="480" w:lineRule="auto"/>
        <w:rPr>
          <w:rFonts w:ascii="Arial" w:hAnsi="Arial" w:cs="Arial"/>
          <w:sz w:val="20"/>
          <w:szCs w:val="20"/>
        </w:rPr>
      </w:pPr>
      <w:r w:rsidRPr="00FD20D3">
        <w:rPr>
          <w:rFonts w:ascii="Arial" w:hAnsi="Arial" w:cs="Arial"/>
          <w:sz w:val="20"/>
          <w:szCs w:val="20"/>
        </w:rPr>
        <w:t>Aider les jeunes canadiens à réussir</w:t>
      </w:r>
    </w:p>
    <w:p w:rsidR="00BD4F62" w:rsidRPr="00FD20D3" w:rsidRDefault="00BD4F62" w:rsidP="00BD4F62">
      <w:pPr>
        <w:spacing w:line="480" w:lineRule="auto"/>
        <w:rPr>
          <w:rFonts w:ascii="Arial" w:hAnsi="Arial" w:cs="Arial"/>
          <w:sz w:val="20"/>
          <w:szCs w:val="20"/>
        </w:rPr>
      </w:pPr>
    </w:p>
    <w:p w:rsidR="005D6304" w:rsidRPr="00FD20D3" w:rsidRDefault="005D6304" w:rsidP="005D6304">
      <w:pPr>
        <w:spacing w:line="480" w:lineRule="auto"/>
        <w:rPr>
          <w:rFonts w:ascii="Arial" w:hAnsi="Arial" w:cs="Arial"/>
          <w:sz w:val="20"/>
          <w:szCs w:val="20"/>
        </w:rPr>
      </w:pPr>
      <w:r w:rsidRPr="00FD20D3">
        <w:rPr>
          <w:rFonts w:ascii="Arial" w:hAnsi="Arial" w:cs="Arial"/>
          <w:sz w:val="20"/>
          <w:szCs w:val="20"/>
        </w:rPr>
        <w:t xml:space="preserve">L’avenir du Canada reposant sur la jeunesse, il s’agit là donc d’une démarche importante. En effet le gouvernement se chargera de faciliter la progression des jeunes Canadiens tant au niveau scolaire que sur le marché du travail. Grace au Budget 2016, les études postsecondaires seront plus abordables au niveau des prix pour les jeunes venant de </w:t>
      </w:r>
      <w:r w:rsidR="009222D2" w:rsidRPr="00FD20D3">
        <w:rPr>
          <w:rFonts w:ascii="Arial" w:hAnsi="Arial" w:cs="Arial"/>
          <w:sz w:val="20"/>
          <w:szCs w:val="20"/>
        </w:rPr>
        <w:t>familles aux revenus minces ce qui</w:t>
      </w:r>
      <w:r w:rsidRPr="00FD20D3">
        <w:rPr>
          <w:rFonts w:ascii="Arial" w:hAnsi="Arial" w:cs="Arial"/>
          <w:sz w:val="20"/>
          <w:szCs w:val="20"/>
        </w:rPr>
        <w:t xml:space="preserve"> permettra de multiplier le nombre de jeunes Canadiens p</w:t>
      </w:r>
      <w:r w:rsidR="009222D2" w:rsidRPr="00FD20D3">
        <w:rPr>
          <w:rFonts w:ascii="Arial" w:hAnsi="Arial" w:cs="Arial"/>
          <w:sz w:val="20"/>
          <w:szCs w:val="20"/>
        </w:rPr>
        <w:t>ossédant une éducation avancée et cela aura un impact positif sur l’</w:t>
      </w:r>
      <w:r w:rsidR="000A317D" w:rsidRPr="00FD20D3">
        <w:rPr>
          <w:rFonts w:ascii="Arial" w:hAnsi="Arial" w:cs="Arial"/>
          <w:sz w:val="20"/>
          <w:szCs w:val="20"/>
        </w:rPr>
        <w:t>économie canadienne sur le long terme.</w:t>
      </w:r>
    </w:p>
    <w:p w:rsidR="00B42FE5" w:rsidRPr="00FD20D3" w:rsidRDefault="00B42FE5" w:rsidP="005D6304">
      <w:pPr>
        <w:spacing w:line="480" w:lineRule="auto"/>
        <w:rPr>
          <w:rFonts w:ascii="Arial" w:hAnsi="Arial" w:cs="Arial"/>
          <w:sz w:val="20"/>
          <w:szCs w:val="20"/>
        </w:rPr>
      </w:pPr>
      <w:r w:rsidRPr="00FD20D3">
        <w:rPr>
          <w:rFonts w:ascii="Arial" w:hAnsi="Arial" w:cs="Arial"/>
          <w:sz w:val="20"/>
          <w:szCs w:val="20"/>
        </w:rPr>
        <w:t xml:space="preserve">Le gouvernement se chargera également de faciliter l’accès au marché du travail aux jeunes diplômés des </w:t>
      </w:r>
      <w:r w:rsidR="005B6736" w:rsidRPr="00FD20D3">
        <w:rPr>
          <w:rFonts w:ascii="Arial" w:hAnsi="Arial" w:cs="Arial"/>
          <w:sz w:val="20"/>
          <w:szCs w:val="20"/>
        </w:rPr>
        <w:t>établissements post secondaires ainsi que les possibilités et opportunités de formation, ce qui sera d’une aide précieuse dans la réduction du chômage au Canada.</w:t>
      </w:r>
    </w:p>
    <w:p w:rsidR="00BD4F62" w:rsidRPr="00FD20D3" w:rsidRDefault="00BD4F62" w:rsidP="005D6304">
      <w:pPr>
        <w:spacing w:line="480" w:lineRule="auto"/>
        <w:rPr>
          <w:rFonts w:ascii="Arial" w:hAnsi="Arial" w:cs="Arial"/>
          <w:sz w:val="20"/>
          <w:szCs w:val="20"/>
        </w:rPr>
      </w:pPr>
    </w:p>
    <w:p w:rsidR="00BD4F62" w:rsidRPr="00FD20D3" w:rsidRDefault="00BD4F62" w:rsidP="00BD4F62">
      <w:pPr>
        <w:pStyle w:val="Paragraphedeliste"/>
        <w:numPr>
          <w:ilvl w:val="0"/>
          <w:numId w:val="2"/>
        </w:numPr>
        <w:spacing w:line="480" w:lineRule="auto"/>
        <w:rPr>
          <w:rFonts w:ascii="Arial" w:hAnsi="Arial" w:cs="Arial"/>
          <w:sz w:val="20"/>
          <w:szCs w:val="20"/>
        </w:rPr>
      </w:pPr>
      <w:r w:rsidRPr="00FD20D3">
        <w:rPr>
          <w:rFonts w:ascii="Arial" w:hAnsi="Arial" w:cs="Arial"/>
          <w:sz w:val="20"/>
          <w:szCs w:val="20"/>
        </w:rPr>
        <w:t>Favoriser la création d’emplois et la prospérité pour la classe moyenne</w:t>
      </w:r>
    </w:p>
    <w:p w:rsidR="00F15DCC" w:rsidRPr="00FD20D3" w:rsidRDefault="00F15DCC" w:rsidP="00F15DCC">
      <w:pPr>
        <w:spacing w:line="480" w:lineRule="auto"/>
        <w:rPr>
          <w:rFonts w:ascii="Arial" w:hAnsi="Arial" w:cs="Arial"/>
          <w:sz w:val="20"/>
          <w:szCs w:val="20"/>
        </w:rPr>
      </w:pPr>
    </w:p>
    <w:p w:rsidR="00DC58DE" w:rsidRPr="00FD20D3" w:rsidRDefault="00F15DCC" w:rsidP="00DC58DE">
      <w:pPr>
        <w:spacing w:line="480" w:lineRule="auto"/>
        <w:rPr>
          <w:rFonts w:ascii="Arial" w:hAnsi="Arial" w:cs="Arial"/>
          <w:sz w:val="20"/>
          <w:szCs w:val="20"/>
        </w:rPr>
      </w:pPr>
      <w:r w:rsidRPr="00FD20D3">
        <w:rPr>
          <w:rFonts w:ascii="Arial" w:hAnsi="Arial" w:cs="Arial"/>
          <w:sz w:val="20"/>
          <w:szCs w:val="20"/>
        </w:rPr>
        <w:t>L’investissement dans les infrastructures ainsi que les améliorations de celles-ci contribue</w:t>
      </w:r>
      <w:r w:rsidR="00C45B6E" w:rsidRPr="00FD20D3">
        <w:rPr>
          <w:rFonts w:ascii="Arial" w:hAnsi="Arial" w:cs="Arial"/>
          <w:sz w:val="20"/>
          <w:szCs w:val="20"/>
        </w:rPr>
        <w:t>nt</w:t>
      </w:r>
      <w:r w:rsidRPr="00FD20D3">
        <w:rPr>
          <w:rFonts w:ascii="Arial" w:hAnsi="Arial" w:cs="Arial"/>
          <w:sz w:val="20"/>
          <w:szCs w:val="20"/>
        </w:rPr>
        <w:t xml:space="preserve"> à la création d’emplois </w:t>
      </w:r>
      <w:r w:rsidR="005212C3" w:rsidRPr="00FD20D3">
        <w:rPr>
          <w:rFonts w:ascii="Arial" w:hAnsi="Arial" w:cs="Arial"/>
          <w:sz w:val="20"/>
          <w:szCs w:val="20"/>
        </w:rPr>
        <w:t>pour les personnes et familles faisant partie de la classe moyenne</w:t>
      </w:r>
      <w:r w:rsidR="002C3193" w:rsidRPr="00FD20D3">
        <w:rPr>
          <w:rFonts w:ascii="Arial" w:hAnsi="Arial" w:cs="Arial"/>
          <w:sz w:val="20"/>
          <w:szCs w:val="20"/>
        </w:rPr>
        <w:t xml:space="preserve"> ce qui permettra à ses derniers d’obtenir de bons salaires</w:t>
      </w:r>
      <w:r w:rsidR="005212C3" w:rsidRPr="00FD20D3">
        <w:rPr>
          <w:rFonts w:ascii="Arial" w:hAnsi="Arial" w:cs="Arial"/>
          <w:sz w:val="20"/>
          <w:szCs w:val="20"/>
        </w:rPr>
        <w:t>.</w:t>
      </w:r>
      <w:r w:rsidR="002C3193" w:rsidRPr="00FD20D3">
        <w:rPr>
          <w:rFonts w:ascii="Arial" w:hAnsi="Arial" w:cs="Arial"/>
          <w:sz w:val="20"/>
          <w:szCs w:val="20"/>
        </w:rPr>
        <w:t xml:space="preserve"> Les nouveaux emplois créés par cette poussée des investissements en infrastructure</w:t>
      </w:r>
      <w:r w:rsidR="00005F5A" w:rsidRPr="00FD20D3">
        <w:rPr>
          <w:rFonts w:ascii="Arial" w:hAnsi="Arial" w:cs="Arial"/>
          <w:sz w:val="20"/>
          <w:szCs w:val="20"/>
        </w:rPr>
        <w:t xml:space="preserve"> permettront de mieux répondre aux besoins des Canadiens</w:t>
      </w:r>
      <w:r w:rsidR="009E6D17" w:rsidRPr="00FD20D3">
        <w:rPr>
          <w:rFonts w:ascii="Arial" w:hAnsi="Arial" w:cs="Arial"/>
          <w:sz w:val="20"/>
          <w:szCs w:val="20"/>
        </w:rPr>
        <w:t>. La classe moyenne jouant</w:t>
      </w:r>
      <w:r w:rsidR="002C3193" w:rsidRPr="00FD20D3">
        <w:rPr>
          <w:rFonts w:ascii="Arial" w:hAnsi="Arial" w:cs="Arial"/>
          <w:sz w:val="20"/>
          <w:szCs w:val="20"/>
        </w:rPr>
        <w:t xml:space="preserve"> un </w:t>
      </w:r>
      <w:r w:rsidR="00B45A38" w:rsidRPr="00FD20D3">
        <w:rPr>
          <w:rFonts w:ascii="Arial" w:hAnsi="Arial" w:cs="Arial"/>
          <w:sz w:val="20"/>
          <w:szCs w:val="20"/>
        </w:rPr>
        <w:t xml:space="preserve">rôle </w:t>
      </w:r>
      <w:r w:rsidR="002C3193" w:rsidRPr="00FD20D3">
        <w:rPr>
          <w:rFonts w:ascii="Arial" w:hAnsi="Arial" w:cs="Arial"/>
          <w:sz w:val="20"/>
          <w:szCs w:val="20"/>
        </w:rPr>
        <w:t xml:space="preserve">primordial </w:t>
      </w:r>
      <w:r w:rsidR="00B45A38" w:rsidRPr="00FD20D3">
        <w:rPr>
          <w:rFonts w:ascii="Arial" w:hAnsi="Arial" w:cs="Arial"/>
          <w:sz w:val="20"/>
          <w:szCs w:val="20"/>
        </w:rPr>
        <w:t>dans</w:t>
      </w:r>
      <w:r w:rsidR="00D40B57" w:rsidRPr="00FD20D3">
        <w:rPr>
          <w:rFonts w:ascii="Arial" w:hAnsi="Arial" w:cs="Arial"/>
          <w:sz w:val="20"/>
          <w:szCs w:val="20"/>
        </w:rPr>
        <w:t xml:space="preserve"> l’essor économique du Canada</w:t>
      </w:r>
      <w:r w:rsidR="009E6D17" w:rsidRPr="00FD20D3">
        <w:rPr>
          <w:rFonts w:ascii="Arial" w:hAnsi="Arial" w:cs="Arial"/>
          <w:sz w:val="20"/>
          <w:szCs w:val="20"/>
        </w:rPr>
        <w:t xml:space="preserve">, sa </w:t>
      </w:r>
      <w:r w:rsidR="009E6D17" w:rsidRPr="00FD20D3">
        <w:rPr>
          <w:rFonts w:ascii="Arial" w:hAnsi="Arial" w:cs="Arial"/>
          <w:sz w:val="20"/>
          <w:szCs w:val="20"/>
        </w:rPr>
        <w:lastRenderedPageBreak/>
        <w:t xml:space="preserve">stabilité économique ainsi que sa prospérité permettront au Canada de se diriger dans la bonne direction d’un point de vue économique. </w:t>
      </w:r>
    </w:p>
    <w:p w:rsidR="00077219" w:rsidRPr="00FD20D3" w:rsidRDefault="00077219" w:rsidP="00DC58DE">
      <w:pPr>
        <w:spacing w:line="480" w:lineRule="auto"/>
        <w:rPr>
          <w:rFonts w:ascii="Arial" w:hAnsi="Arial" w:cs="Arial"/>
          <w:sz w:val="20"/>
          <w:szCs w:val="20"/>
        </w:rPr>
      </w:pPr>
    </w:p>
    <w:p w:rsidR="00077219" w:rsidRPr="00FD20D3" w:rsidRDefault="00077219" w:rsidP="00077219">
      <w:pPr>
        <w:pStyle w:val="Paragraphedeliste"/>
        <w:numPr>
          <w:ilvl w:val="0"/>
          <w:numId w:val="2"/>
        </w:numPr>
        <w:spacing w:line="480" w:lineRule="auto"/>
        <w:rPr>
          <w:rFonts w:ascii="Arial" w:hAnsi="Arial" w:cs="Arial"/>
          <w:sz w:val="20"/>
          <w:szCs w:val="20"/>
        </w:rPr>
      </w:pPr>
      <w:r w:rsidRPr="00FD20D3">
        <w:rPr>
          <w:rFonts w:ascii="Arial" w:hAnsi="Arial" w:cs="Arial"/>
          <w:sz w:val="20"/>
          <w:szCs w:val="20"/>
        </w:rPr>
        <w:t>Assurance-emploi</w:t>
      </w:r>
    </w:p>
    <w:p w:rsidR="006B7EEC" w:rsidRPr="00FD20D3" w:rsidRDefault="006B7EEC" w:rsidP="006B7EEC">
      <w:pPr>
        <w:spacing w:line="480" w:lineRule="auto"/>
        <w:rPr>
          <w:rFonts w:ascii="Arial" w:hAnsi="Arial" w:cs="Arial"/>
          <w:sz w:val="20"/>
          <w:szCs w:val="20"/>
        </w:rPr>
      </w:pPr>
    </w:p>
    <w:p w:rsidR="00C52B62" w:rsidRPr="00FD20D3" w:rsidRDefault="00C52B62" w:rsidP="00C52B62">
      <w:pPr>
        <w:spacing w:line="480" w:lineRule="auto"/>
        <w:rPr>
          <w:rFonts w:ascii="Arial" w:hAnsi="Arial" w:cs="Arial"/>
          <w:sz w:val="20"/>
          <w:szCs w:val="20"/>
        </w:rPr>
      </w:pPr>
      <w:r w:rsidRPr="00FD20D3">
        <w:rPr>
          <w:rFonts w:ascii="Arial" w:hAnsi="Arial" w:cs="Arial"/>
          <w:sz w:val="20"/>
          <w:szCs w:val="20"/>
        </w:rPr>
        <w:t>Le régime d’assurance emploi est d’une aide cruciale a tous les Canadiens à travers le pays.</w:t>
      </w:r>
      <w:r w:rsidR="00ED2911" w:rsidRPr="00FD20D3">
        <w:rPr>
          <w:rFonts w:ascii="Arial" w:hAnsi="Arial" w:cs="Arial"/>
          <w:sz w:val="20"/>
          <w:szCs w:val="20"/>
        </w:rPr>
        <w:t xml:space="preserve"> Grace au budget 2016, on assiste à un amincissement </w:t>
      </w:r>
      <w:r w:rsidR="00BE2882" w:rsidRPr="00FD20D3">
        <w:rPr>
          <w:rFonts w:ascii="Arial" w:hAnsi="Arial" w:cs="Arial"/>
          <w:sz w:val="20"/>
          <w:szCs w:val="20"/>
        </w:rPr>
        <w:t>des délais de prestation d’assurance afin de venir en aide aux Canadiens dans le besoin</w:t>
      </w:r>
      <w:r w:rsidR="000A0A4D" w:rsidRPr="00FD20D3">
        <w:rPr>
          <w:rFonts w:ascii="Arial" w:hAnsi="Arial" w:cs="Arial"/>
          <w:sz w:val="20"/>
          <w:szCs w:val="20"/>
        </w:rPr>
        <w:t xml:space="preserve"> pendant le temps qu’ils se cherchent un nouvel emploi. Cette mesure sera donc une nouvelle arme dans la lutte contre le chômage au Canada.</w:t>
      </w:r>
    </w:p>
    <w:p w:rsidR="005C0529" w:rsidRPr="00FD20D3" w:rsidRDefault="005C0529" w:rsidP="00C52B62">
      <w:pPr>
        <w:spacing w:line="480" w:lineRule="auto"/>
        <w:rPr>
          <w:rFonts w:ascii="Arial" w:hAnsi="Arial" w:cs="Arial"/>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C571BA" w:rsidRPr="00FD20D3" w:rsidRDefault="00C571BA" w:rsidP="00C52B62">
      <w:pPr>
        <w:spacing w:line="480" w:lineRule="auto"/>
        <w:rPr>
          <w:rFonts w:ascii="Arial" w:hAnsi="Arial" w:cs="Arial"/>
          <w:b/>
          <w:sz w:val="20"/>
          <w:szCs w:val="20"/>
        </w:rPr>
      </w:pPr>
    </w:p>
    <w:p w:rsidR="00FD20D3" w:rsidRDefault="00FD20D3" w:rsidP="00C52B62">
      <w:pPr>
        <w:spacing w:line="480" w:lineRule="auto"/>
        <w:rPr>
          <w:rFonts w:ascii="Arial" w:hAnsi="Arial" w:cs="Arial"/>
          <w:b/>
          <w:sz w:val="24"/>
          <w:szCs w:val="24"/>
        </w:rPr>
      </w:pPr>
    </w:p>
    <w:p w:rsidR="00FD20D3" w:rsidRDefault="00FD20D3" w:rsidP="00C52B62">
      <w:pPr>
        <w:spacing w:line="480" w:lineRule="auto"/>
        <w:rPr>
          <w:rFonts w:ascii="Arial" w:hAnsi="Arial" w:cs="Arial"/>
          <w:b/>
          <w:sz w:val="24"/>
          <w:szCs w:val="24"/>
        </w:rPr>
      </w:pPr>
    </w:p>
    <w:p w:rsidR="00FD20D3" w:rsidRDefault="00FD20D3" w:rsidP="00C52B62">
      <w:pPr>
        <w:spacing w:line="480" w:lineRule="auto"/>
        <w:rPr>
          <w:rFonts w:ascii="Arial" w:hAnsi="Arial" w:cs="Arial"/>
          <w:b/>
          <w:sz w:val="24"/>
          <w:szCs w:val="24"/>
        </w:rPr>
      </w:pPr>
    </w:p>
    <w:p w:rsidR="00D34D76" w:rsidRDefault="00D34D76" w:rsidP="00C52B62">
      <w:pPr>
        <w:spacing w:line="480" w:lineRule="auto"/>
        <w:rPr>
          <w:rFonts w:ascii="Arial" w:hAnsi="Arial" w:cs="Arial"/>
          <w:b/>
          <w:sz w:val="24"/>
          <w:szCs w:val="24"/>
        </w:rPr>
      </w:pPr>
    </w:p>
    <w:p w:rsidR="005C0529" w:rsidRPr="00F45D48" w:rsidRDefault="005C0529" w:rsidP="00C52B62">
      <w:pPr>
        <w:spacing w:line="480" w:lineRule="auto"/>
        <w:rPr>
          <w:rFonts w:ascii="Arial" w:hAnsi="Arial" w:cs="Arial"/>
        </w:rPr>
      </w:pPr>
      <w:r w:rsidRPr="00F00B96">
        <w:rPr>
          <w:rFonts w:ascii="Arial" w:hAnsi="Arial" w:cs="Arial"/>
          <w:b/>
        </w:rPr>
        <w:lastRenderedPageBreak/>
        <w:t>Question 2</w:t>
      </w:r>
      <w:r w:rsidR="00F45D48">
        <w:rPr>
          <w:rFonts w:ascii="Arial" w:hAnsi="Arial" w:cs="Arial"/>
          <w:b/>
        </w:rPr>
        <w:t xml:space="preserve"> : </w:t>
      </w:r>
      <w:r w:rsidR="00F45D48" w:rsidRPr="00F45D48">
        <w:rPr>
          <w:rFonts w:ascii="Arial" w:hAnsi="Arial" w:cs="Arial"/>
        </w:rPr>
        <w:t>expliquez comment un dollar de vos impôts est réparti en services à la population et autres</w:t>
      </w:r>
    </w:p>
    <w:p w:rsidR="00E11815" w:rsidRPr="00976A1C" w:rsidRDefault="00E11815" w:rsidP="00C52B62">
      <w:pPr>
        <w:spacing w:line="480" w:lineRule="auto"/>
        <w:rPr>
          <w:rFonts w:ascii="Arial" w:hAnsi="Arial" w:cs="Arial"/>
          <w:b/>
          <w:sz w:val="24"/>
          <w:szCs w:val="24"/>
        </w:rPr>
      </w:pPr>
    </w:p>
    <w:p w:rsidR="00BE1CD6" w:rsidRDefault="00BE1CD6" w:rsidP="00C52B62">
      <w:pPr>
        <w:spacing w:line="480" w:lineRule="auto"/>
        <w:rPr>
          <w:rFonts w:ascii="Arial" w:hAnsi="Arial" w:cs="Arial"/>
        </w:rPr>
      </w:pPr>
      <w:r>
        <w:rPr>
          <w:rFonts w:ascii="Arial" w:hAnsi="Arial" w:cs="Arial"/>
        </w:rPr>
        <w:t xml:space="preserve">Les impôts payés par la population servent au financement du Budget Canadien. </w:t>
      </w:r>
      <w:r w:rsidR="00A60E74">
        <w:rPr>
          <w:rFonts w:ascii="Arial" w:hAnsi="Arial" w:cs="Arial"/>
        </w:rPr>
        <w:t>Sur chaque</w:t>
      </w:r>
      <w:r w:rsidR="00C571BA">
        <w:rPr>
          <w:rFonts w:ascii="Arial" w:hAnsi="Arial" w:cs="Arial"/>
        </w:rPr>
        <w:t xml:space="preserve"> dollar d’</w:t>
      </w:r>
      <w:r w:rsidR="000013EE">
        <w:rPr>
          <w:rFonts w:ascii="Arial" w:hAnsi="Arial" w:cs="Arial"/>
        </w:rPr>
        <w:t>impôts</w:t>
      </w:r>
      <w:r w:rsidR="00C571BA">
        <w:rPr>
          <w:rFonts w:ascii="Arial" w:hAnsi="Arial" w:cs="Arial"/>
        </w:rPr>
        <w:t xml:space="preserve"> payé, une </w:t>
      </w:r>
      <w:r w:rsidR="000013EE">
        <w:rPr>
          <w:rFonts w:ascii="Arial" w:hAnsi="Arial" w:cs="Arial"/>
        </w:rPr>
        <w:t>répartition</w:t>
      </w:r>
      <w:r w:rsidR="00C571BA">
        <w:rPr>
          <w:rFonts w:ascii="Arial" w:hAnsi="Arial" w:cs="Arial"/>
        </w:rPr>
        <w:t xml:space="preserve"> précise sera effec</w:t>
      </w:r>
      <w:r w:rsidR="00A60E74">
        <w:rPr>
          <w:rFonts w:ascii="Arial" w:hAnsi="Arial" w:cs="Arial"/>
        </w:rPr>
        <w:t>tuée afin justement de financer les dépenses gouvernementales.</w:t>
      </w:r>
    </w:p>
    <w:p w:rsidR="00B87CF2" w:rsidRDefault="00B87CF2" w:rsidP="00C52B62">
      <w:pPr>
        <w:spacing w:line="480" w:lineRule="auto"/>
        <w:rPr>
          <w:rFonts w:ascii="Arial" w:hAnsi="Arial" w:cs="Arial"/>
        </w:rPr>
      </w:pPr>
      <w:r>
        <w:rPr>
          <w:rFonts w:ascii="Arial" w:hAnsi="Arial" w:cs="Arial"/>
        </w:rPr>
        <w:t xml:space="preserve">Parmi ces dépenses on retrouve </w:t>
      </w:r>
      <w:r w:rsidR="00E11815">
        <w:rPr>
          <w:rFonts w:ascii="Arial" w:hAnsi="Arial" w:cs="Arial"/>
        </w:rPr>
        <w:t>par e</w:t>
      </w:r>
      <w:r w:rsidR="00B14754">
        <w:rPr>
          <w:rFonts w:ascii="Arial" w:hAnsi="Arial" w:cs="Arial"/>
        </w:rPr>
        <w:t>xemple</w:t>
      </w:r>
      <w:r w:rsidR="000D3070">
        <w:rPr>
          <w:rFonts w:ascii="Arial" w:hAnsi="Arial" w:cs="Arial"/>
        </w:rPr>
        <w:t> :</w:t>
      </w:r>
      <w:r w:rsidR="00B14754">
        <w:rPr>
          <w:rFonts w:ascii="Arial" w:hAnsi="Arial" w:cs="Arial"/>
        </w:rPr>
        <w:t xml:space="preserve"> </w:t>
      </w:r>
      <w:r w:rsidR="00E11815">
        <w:rPr>
          <w:rFonts w:ascii="Arial" w:hAnsi="Arial" w:cs="Arial"/>
        </w:rPr>
        <w:t xml:space="preserve">les transferts </w:t>
      </w:r>
      <w:r w:rsidR="00CB7330">
        <w:rPr>
          <w:rFonts w:ascii="Arial" w:hAnsi="Arial" w:cs="Arial"/>
        </w:rPr>
        <w:t>aux particuliers</w:t>
      </w:r>
      <w:r w:rsidR="000D3070">
        <w:rPr>
          <w:rFonts w:ascii="Arial" w:hAnsi="Arial" w:cs="Arial"/>
        </w:rPr>
        <w:t xml:space="preserve">, représentant environ </w:t>
      </w:r>
      <w:r w:rsidR="000D3070" w:rsidRPr="006B457B">
        <w:rPr>
          <w:rFonts w:ascii="Arial" w:hAnsi="Arial" w:cs="Arial"/>
          <w:b/>
        </w:rPr>
        <w:t>26 cents</w:t>
      </w:r>
      <w:r w:rsidR="001F6329">
        <w:rPr>
          <w:rFonts w:ascii="Arial" w:hAnsi="Arial" w:cs="Arial"/>
        </w:rPr>
        <w:t xml:space="preserve"> de chaque</w:t>
      </w:r>
      <w:r w:rsidR="000D3070">
        <w:rPr>
          <w:rFonts w:ascii="Arial" w:hAnsi="Arial" w:cs="Arial"/>
        </w:rPr>
        <w:t xml:space="preserve"> dollar </w:t>
      </w:r>
      <w:r w:rsidR="001F6329">
        <w:rPr>
          <w:rFonts w:ascii="Arial" w:hAnsi="Arial" w:cs="Arial"/>
        </w:rPr>
        <w:t xml:space="preserve">dépensé </w:t>
      </w:r>
      <w:r w:rsidR="000D3070">
        <w:rPr>
          <w:rFonts w:ascii="Arial" w:hAnsi="Arial" w:cs="Arial"/>
        </w:rPr>
        <w:t xml:space="preserve">et </w:t>
      </w:r>
      <w:r w:rsidR="00E11815">
        <w:rPr>
          <w:rFonts w:ascii="Arial" w:hAnsi="Arial" w:cs="Arial"/>
        </w:rPr>
        <w:t>qui sont composés entre autres</w:t>
      </w:r>
      <w:r w:rsidR="00B14754">
        <w:rPr>
          <w:rFonts w:ascii="Arial" w:hAnsi="Arial" w:cs="Arial"/>
        </w:rPr>
        <w:t xml:space="preserve"> des prestations versées aux ainés et des prestations d’</w:t>
      </w:r>
      <w:r w:rsidR="000D3070">
        <w:rPr>
          <w:rFonts w:ascii="Arial" w:hAnsi="Arial" w:cs="Arial"/>
        </w:rPr>
        <w:t>assurance emploi, les transferts aux administrations territoriales et provinciales, représentant environ</w:t>
      </w:r>
      <w:r w:rsidR="000D3070" w:rsidRPr="006B457B">
        <w:rPr>
          <w:rFonts w:ascii="Arial" w:hAnsi="Arial" w:cs="Arial"/>
          <w:b/>
        </w:rPr>
        <w:t xml:space="preserve"> 22 cents</w:t>
      </w:r>
      <w:r w:rsidR="001F6329">
        <w:rPr>
          <w:rFonts w:ascii="Arial" w:hAnsi="Arial" w:cs="Arial"/>
        </w:rPr>
        <w:t xml:space="preserve"> de chaque</w:t>
      </w:r>
      <w:r w:rsidR="000D3070">
        <w:rPr>
          <w:rFonts w:ascii="Arial" w:hAnsi="Arial" w:cs="Arial"/>
        </w:rPr>
        <w:t xml:space="preserve"> dollar</w:t>
      </w:r>
      <w:r w:rsidR="001F6329">
        <w:rPr>
          <w:rFonts w:ascii="Arial" w:hAnsi="Arial" w:cs="Arial"/>
        </w:rPr>
        <w:t xml:space="preserve"> dépensé</w:t>
      </w:r>
      <w:r w:rsidR="000D3070">
        <w:rPr>
          <w:rFonts w:ascii="Arial" w:hAnsi="Arial" w:cs="Arial"/>
        </w:rPr>
        <w:t xml:space="preserve"> </w:t>
      </w:r>
      <w:r w:rsidR="008A52BA">
        <w:rPr>
          <w:rFonts w:ascii="Arial" w:hAnsi="Arial" w:cs="Arial"/>
        </w:rPr>
        <w:t>et qui</w:t>
      </w:r>
      <w:r w:rsidR="000D3070">
        <w:rPr>
          <w:rFonts w:ascii="Arial" w:hAnsi="Arial" w:cs="Arial"/>
        </w:rPr>
        <w:t xml:space="preserve"> servent à financer les soins de santé</w:t>
      </w:r>
      <w:r w:rsidR="00EA45F9">
        <w:rPr>
          <w:rFonts w:ascii="Arial" w:hAnsi="Arial" w:cs="Arial"/>
        </w:rPr>
        <w:t xml:space="preserve"> (Services de santé des premières nations</w:t>
      </w:r>
      <w:r w:rsidR="000D3070">
        <w:rPr>
          <w:rFonts w:ascii="Arial" w:hAnsi="Arial" w:cs="Arial"/>
        </w:rPr>
        <w:t xml:space="preserve">, </w:t>
      </w:r>
      <w:r w:rsidR="00EA45F9">
        <w:rPr>
          <w:rFonts w:ascii="Arial" w:hAnsi="Arial" w:cs="Arial"/>
        </w:rPr>
        <w:t>soins aux anciens</w:t>
      </w:r>
      <w:r w:rsidR="00C46D68">
        <w:rPr>
          <w:rFonts w:ascii="Arial" w:hAnsi="Arial" w:cs="Arial"/>
        </w:rPr>
        <w:t xml:space="preserve"> combattants, Recherche en santé, Programmes de Santé publique),</w:t>
      </w:r>
      <w:r w:rsidR="00EA45F9">
        <w:rPr>
          <w:rFonts w:ascii="Arial" w:hAnsi="Arial" w:cs="Arial"/>
        </w:rPr>
        <w:t xml:space="preserve"> </w:t>
      </w:r>
      <w:r w:rsidR="000D3070">
        <w:rPr>
          <w:rFonts w:ascii="Arial" w:hAnsi="Arial" w:cs="Arial"/>
        </w:rPr>
        <w:t xml:space="preserve">l’éducation post secondaire </w:t>
      </w:r>
      <w:r w:rsidR="008A52BA">
        <w:rPr>
          <w:rFonts w:ascii="Arial" w:hAnsi="Arial" w:cs="Arial"/>
        </w:rPr>
        <w:t>ainsi que d’autres programmes offerts aux Canadiens.</w:t>
      </w:r>
      <w:r w:rsidR="001F6329">
        <w:rPr>
          <w:rFonts w:ascii="Arial" w:hAnsi="Arial" w:cs="Arial"/>
        </w:rPr>
        <w:t xml:space="preserve"> On note également la présence de dépenses au titre des subventions et de contributions fédérales représentant environ </w:t>
      </w:r>
      <w:r w:rsidR="001F6329" w:rsidRPr="001F6329">
        <w:rPr>
          <w:rFonts w:ascii="Arial" w:hAnsi="Arial" w:cs="Arial"/>
          <w:b/>
        </w:rPr>
        <w:t>13 cents</w:t>
      </w:r>
      <w:r w:rsidR="001F6329">
        <w:rPr>
          <w:rFonts w:ascii="Arial" w:hAnsi="Arial" w:cs="Arial"/>
        </w:rPr>
        <w:t xml:space="preserve"> de chaque dollar </w:t>
      </w:r>
      <w:r w:rsidR="00011D66">
        <w:rPr>
          <w:rFonts w:ascii="Arial" w:hAnsi="Arial" w:cs="Arial"/>
        </w:rPr>
        <w:t>dépensé.</w:t>
      </w:r>
    </w:p>
    <w:p w:rsidR="006B457B" w:rsidRDefault="006B457B" w:rsidP="00C52B62">
      <w:pPr>
        <w:spacing w:line="480" w:lineRule="auto"/>
        <w:rPr>
          <w:rFonts w:ascii="Arial" w:hAnsi="Arial" w:cs="Arial"/>
        </w:rPr>
      </w:pPr>
      <w:r>
        <w:rPr>
          <w:rFonts w:ascii="Arial" w:hAnsi="Arial" w:cs="Arial"/>
        </w:rPr>
        <w:t>En plus des dépenses liées à ces transferts</w:t>
      </w:r>
      <w:r w:rsidR="00490A68">
        <w:rPr>
          <w:rFonts w:ascii="Arial" w:hAnsi="Arial" w:cs="Arial"/>
        </w:rPr>
        <w:t xml:space="preserve">, le reste des dépenses correspondent aux </w:t>
      </w:r>
      <w:r w:rsidR="00D13DDC">
        <w:rPr>
          <w:rFonts w:ascii="Arial" w:hAnsi="Arial" w:cs="Arial"/>
        </w:rPr>
        <w:t xml:space="preserve">autres charges de programme </w:t>
      </w:r>
      <w:r w:rsidR="00C27F5E">
        <w:rPr>
          <w:rFonts w:ascii="Arial" w:hAnsi="Arial" w:cs="Arial"/>
        </w:rPr>
        <w:t xml:space="preserve">représentant environ </w:t>
      </w:r>
      <w:r w:rsidR="00C27F5E" w:rsidRPr="00C27F5E">
        <w:rPr>
          <w:rFonts w:ascii="Arial" w:hAnsi="Arial" w:cs="Arial"/>
          <w:b/>
        </w:rPr>
        <w:t>29 cents</w:t>
      </w:r>
      <w:r w:rsidR="00C27F5E">
        <w:rPr>
          <w:rFonts w:ascii="Arial" w:hAnsi="Arial" w:cs="Arial"/>
        </w:rPr>
        <w:t xml:space="preserve"> pour chaque dollar dépensé</w:t>
      </w:r>
      <w:r w:rsidR="00D13DDC">
        <w:rPr>
          <w:rFonts w:ascii="Arial" w:hAnsi="Arial" w:cs="Arial"/>
        </w:rPr>
        <w:t>, et qui comprennent par exemple : La défense nationale</w:t>
      </w:r>
      <w:r w:rsidR="00A55C01">
        <w:rPr>
          <w:rFonts w:ascii="Arial" w:hAnsi="Arial" w:cs="Arial"/>
        </w:rPr>
        <w:t xml:space="preserve"> (8 cents), la sécurité publique (3 cents), l’agence du revenu du Canada (3 cents) qui représentent à elles trois près de la moitié des dépenses liées aux autres charges de programme</w:t>
      </w:r>
    </w:p>
    <w:p w:rsidR="00CB7330" w:rsidRDefault="009D2212" w:rsidP="00C52B62">
      <w:pPr>
        <w:spacing w:line="480" w:lineRule="auto"/>
        <w:rPr>
          <w:rFonts w:ascii="Arial" w:hAnsi="Arial" w:cs="Arial"/>
        </w:rPr>
      </w:pPr>
      <w:r>
        <w:rPr>
          <w:rFonts w:ascii="Arial" w:hAnsi="Arial" w:cs="Arial"/>
        </w:rPr>
        <w:t>Toujours dans ces mêmes</w:t>
      </w:r>
      <w:r w:rsidR="002C78B8">
        <w:rPr>
          <w:rFonts w:ascii="Arial" w:hAnsi="Arial" w:cs="Arial"/>
        </w:rPr>
        <w:t xml:space="preserve"> charges de programme, nous retrouvons les dépenses liées aux autres ministères et organismes fédéraux </w:t>
      </w:r>
      <w:r w:rsidR="00B94795">
        <w:rPr>
          <w:rFonts w:ascii="Arial" w:hAnsi="Arial" w:cs="Arial"/>
        </w:rPr>
        <w:t xml:space="preserve">comme par exemple Anciens combattants </w:t>
      </w:r>
      <w:r w:rsidR="00B94795">
        <w:rPr>
          <w:rFonts w:ascii="Arial" w:hAnsi="Arial" w:cs="Arial"/>
        </w:rPr>
        <w:lastRenderedPageBreak/>
        <w:t>Canada ou Industrie Canada qui</w:t>
      </w:r>
      <w:r w:rsidR="002C78B8">
        <w:rPr>
          <w:rFonts w:ascii="Arial" w:hAnsi="Arial" w:cs="Arial"/>
        </w:rPr>
        <w:t xml:space="preserve"> représentent environ 12 cents pour chaque dollar dépensé.</w:t>
      </w:r>
    </w:p>
    <w:p w:rsidR="00DF250B" w:rsidRDefault="00D66E29" w:rsidP="00C52B62">
      <w:pPr>
        <w:spacing w:line="480" w:lineRule="auto"/>
        <w:rPr>
          <w:rFonts w:ascii="Arial" w:hAnsi="Arial" w:cs="Arial"/>
        </w:rPr>
      </w:pPr>
      <w:r>
        <w:rPr>
          <w:rFonts w:ascii="Arial" w:hAnsi="Arial" w:cs="Arial"/>
        </w:rPr>
        <w:t>Il y a aussi des dépenses effectuées pour le fonctionnement du parlement,</w:t>
      </w:r>
      <w:r w:rsidR="00E4174E">
        <w:rPr>
          <w:rFonts w:ascii="Arial" w:hAnsi="Arial" w:cs="Arial"/>
        </w:rPr>
        <w:t xml:space="preserve"> qui représentent </w:t>
      </w:r>
      <w:r w:rsidR="00E4174E" w:rsidRPr="00B35D0B">
        <w:rPr>
          <w:rFonts w:ascii="Arial" w:hAnsi="Arial" w:cs="Arial"/>
        </w:rPr>
        <w:t>¼ de cents</w:t>
      </w:r>
      <w:r w:rsidR="00E4174E">
        <w:rPr>
          <w:rFonts w:ascii="Arial" w:hAnsi="Arial" w:cs="Arial"/>
        </w:rPr>
        <w:t xml:space="preserve"> pour chaque dollar dépensé</w:t>
      </w:r>
      <w:r w:rsidR="00B35D0B">
        <w:rPr>
          <w:rFonts w:ascii="Arial" w:hAnsi="Arial" w:cs="Arial"/>
        </w:rPr>
        <w:t>, celles effectuées pour les dépenses d’états (organisations appartenant directement ou indirectement au gouvernement)</w:t>
      </w:r>
      <w:r w:rsidR="0061023E">
        <w:rPr>
          <w:rFonts w:ascii="Arial" w:hAnsi="Arial" w:cs="Arial"/>
        </w:rPr>
        <w:t xml:space="preserve"> qui représentent 3 cents pour chaque dollar </w:t>
      </w:r>
      <w:r w:rsidR="00BB43A7">
        <w:rPr>
          <w:rFonts w:ascii="Arial" w:hAnsi="Arial" w:cs="Arial"/>
        </w:rPr>
        <w:t>dépensé</w:t>
      </w:r>
      <w:r w:rsidR="0061023E">
        <w:rPr>
          <w:rFonts w:ascii="Arial" w:hAnsi="Arial" w:cs="Arial"/>
        </w:rPr>
        <w:t>.</w:t>
      </w:r>
      <w:r w:rsidR="00BB43A7">
        <w:rPr>
          <w:rFonts w:ascii="Arial" w:hAnsi="Arial" w:cs="Arial"/>
        </w:rPr>
        <w:t xml:space="preserve"> Et enfin</w:t>
      </w:r>
      <w:r w:rsidR="00954FA4">
        <w:rPr>
          <w:rFonts w:ascii="Arial" w:hAnsi="Arial" w:cs="Arial"/>
        </w:rPr>
        <w:t xml:space="preserve"> nous avons les faits de dette publique qui représentent </w:t>
      </w:r>
      <w:r w:rsidR="00954FA4" w:rsidRPr="00954FA4">
        <w:rPr>
          <w:rFonts w:ascii="Arial" w:hAnsi="Arial" w:cs="Arial"/>
          <w:b/>
        </w:rPr>
        <w:t>10 cents</w:t>
      </w:r>
      <w:r w:rsidR="00954FA4">
        <w:rPr>
          <w:rFonts w:ascii="Arial" w:hAnsi="Arial" w:cs="Arial"/>
        </w:rPr>
        <w:t xml:space="preserve"> pour chaque dollar dépensé</w:t>
      </w:r>
    </w:p>
    <w:p w:rsidR="00B94795" w:rsidRDefault="00DF250B" w:rsidP="00C52B62">
      <w:pPr>
        <w:spacing w:line="480" w:lineRule="auto"/>
        <w:rPr>
          <w:rFonts w:ascii="Arial" w:hAnsi="Arial" w:cs="Arial"/>
        </w:rPr>
      </w:pPr>
      <w:r>
        <w:rPr>
          <w:rFonts w:ascii="Arial" w:hAnsi="Arial" w:cs="Arial"/>
        </w:rPr>
        <w:t>Au niveau de la provenance des revenus</w:t>
      </w:r>
      <w:r w:rsidR="00227044">
        <w:rPr>
          <w:rFonts w:ascii="Arial" w:hAnsi="Arial" w:cs="Arial"/>
        </w:rPr>
        <w:t xml:space="preserve">, pour chaque dollar dépensé, </w:t>
      </w:r>
      <w:r w:rsidR="00227044" w:rsidRPr="00BD5D53">
        <w:rPr>
          <w:rFonts w:ascii="Arial" w:hAnsi="Arial" w:cs="Arial"/>
          <w:b/>
        </w:rPr>
        <w:t>48 cents</w:t>
      </w:r>
      <w:r w:rsidR="00BD5D53">
        <w:rPr>
          <w:rFonts w:ascii="Arial" w:hAnsi="Arial" w:cs="Arial"/>
        </w:rPr>
        <w:t xml:space="preserve">, représentent les impôts sur le revenu des particuliers, </w:t>
      </w:r>
      <w:r w:rsidR="00BD5D53" w:rsidRPr="00BD5D53">
        <w:rPr>
          <w:rFonts w:ascii="Arial" w:hAnsi="Arial" w:cs="Arial"/>
          <w:b/>
        </w:rPr>
        <w:t>14 cents</w:t>
      </w:r>
      <w:r w:rsidR="00BD5D53">
        <w:rPr>
          <w:rFonts w:ascii="Arial" w:hAnsi="Arial" w:cs="Arial"/>
          <w:b/>
        </w:rPr>
        <w:t xml:space="preserve"> </w:t>
      </w:r>
      <w:r w:rsidR="00BD5D53">
        <w:rPr>
          <w:rFonts w:ascii="Arial" w:hAnsi="Arial" w:cs="Arial"/>
        </w:rPr>
        <w:t>correspondent aux impôts sur le</w:t>
      </w:r>
      <w:r w:rsidR="009454B3">
        <w:rPr>
          <w:rFonts w:ascii="Arial" w:hAnsi="Arial" w:cs="Arial"/>
        </w:rPr>
        <w:t>s</w:t>
      </w:r>
      <w:r w:rsidR="00BD5D53">
        <w:rPr>
          <w:rFonts w:ascii="Arial" w:hAnsi="Arial" w:cs="Arial"/>
        </w:rPr>
        <w:t xml:space="preserve"> revenus des sociétés</w:t>
      </w:r>
      <w:r w:rsidR="008D4D67">
        <w:rPr>
          <w:rFonts w:ascii="Arial" w:hAnsi="Arial" w:cs="Arial"/>
        </w:rPr>
        <w:t xml:space="preserve">, </w:t>
      </w:r>
      <w:r w:rsidR="008D4D67" w:rsidRPr="008D4D67">
        <w:rPr>
          <w:rFonts w:ascii="Arial" w:hAnsi="Arial" w:cs="Arial"/>
          <w:b/>
        </w:rPr>
        <w:t>11 cents</w:t>
      </w:r>
      <w:r w:rsidR="003669BC">
        <w:rPr>
          <w:rFonts w:ascii="Arial" w:hAnsi="Arial" w:cs="Arial"/>
          <w:b/>
        </w:rPr>
        <w:t xml:space="preserve"> </w:t>
      </w:r>
      <w:r w:rsidR="003669BC">
        <w:rPr>
          <w:rFonts w:ascii="Arial" w:hAnsi="Arial" w:cs="Arial"/>
        </w:rPr>
        <w:t xml:space="preserve">sur les taxes des produits, </w:t>
      </w:r>
      <w:r w:rsidR="003669BC" w:rsidRPr="003669BC">
        <w:rPr>
          <w:rFonts w:ascii="Arial" w:hAnsi="Arial" w:cs="Arial"/>
          <w:b/>
        </w:rPr>
        <w:t>8 cents</w:t>
      </w:r>
      <w:r w:rsidR="003669BC">
        <w:rPr>
          <w:rFonts w:ascii="Arial" w:hAnsi="Arial" w:cs="Arial"/>
        </w:rPr>
        <w:t xml:space="preserve"> représentant divers impôts et taxes comme les retenues d’impôts des non-résidents</w:t>
      </w:r>
      <w:r w:rsidR="00160331">
        <w:rPr>
          <w:rFonts w:ascii="Arial" w:hAnsi="Arial" w:cs="Arial"/>
        </w:rPr>
        <w:t xml:space="preserve">, </w:t>
      </w:r>
      <w:r w:rsidR="00160331" w:rsidRPr="00160331">
        <w:rPr>
          <w:rFonts w:ascii="Arial" w:hAnsi="Arial" w:cs="Arial"/>
          <w:b/>
        </w:rPr>
        <w:t>8 cents</w:t>
      </w:r>
      <w:r w:rsidR="00160331">
        <w:rPr>
          <w:rFonts w:ascii="Arial" w:hAnsi="Arial" w:cs="Arial"/>
        </w:rPr>
        <w:t xml:space="preserve"> correspondant aux cotisations d’assurances-emploi</w:t>
      </w:r>
      <w:r w:rsidR="00BB0183">
        <w:rPr>
          <w:rFonts w:ascii="Arial" w:hAnsi="Arial" w:cs="Arial"/>
        </w:rPr>
        <w:t xml:space="preserve"> et enfin </w:t>
      </w:r>
      <w:r w:rsidR="00BB0183" w:rsidRPr="007600DE">
        <w:rPr>
          <w:rFonts w:ascii="Arial" w:hAnsi="Arial" w:cs="Arial"/>
          <w:b/>
        </w:rPr>
        <w:t>11 cents</w:t>
      </w:r>
      <w:r w:rsidR="00BB0183">
        <w:rPr>
          <w:rFonts w:ascii="Arial" w:hAnsi="Arial" w:cs="Arial"/>
        </w:rPr>
        <w:t xml:space="preserve"> représentant d’autres revenus comme les bénéfices des sociétés d’état</w:t>
      </w:r>
      <w:r w:rsidR="00A24EDA">
        <w:rPr>
          <w:rFonts w:ascii="Arial" w:hAnsi="Arial" w:cs="Arial"/>
        </w:rPr>
        <w:t xml:space="preserve"> et le produit de la vente des biens et services.</w:t>
      </w:r>
    </w:p>
    <w:p w:rsidR="00A24EDA" w:rsidRPr="003669BC" w:rsidRDefault="00A24EDA" w:rsidP="00C52B62">
      <w:pPr>
        <w:spacing w:line="480" w:lineRule="auto"/>
        <w:rPr>
          <w:rFonts w:ascii="Arial" w:hAnsi="Arial" w:cs="Arial"/>
        </w:rPr>
      </w:pPr>
    </w:p>
    <w:p w:rsidR="00763985" w:rsidRDefault="000F3CF8" w:rsidP="00C52B62">
      <w:pPr>
        <w:spacing w:line="480" w:lineRule="auto"/>
        <w:rPr>
          <w:rFonts w:ascii="Arial" w:hAnsi="Arial" w:cs="Arial"/>
        </w:rPr>
      </w:pPr>
      <w:r>
        <w:rPr>
          <w:rFonts w:ascii="Arial" w:hAnsi="Arial" w:cs="Arial"/>
          <w:noProof/>
          <w:lang w:eastAsia="fr-CA"/>
        </w:rPr>
        <w:lastRenderedPageBreak/>
        <w:drawing>
          <wp:inline distT="0" distB="0" distL="0" distR="0" wp14:anchorId="4409D2FD" wp14:editId="47F01BD6">
            <wp:extent cx="6468745" cy="3105150"/>
            <wp:effectExtent l="0" t="0" r="8255"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7330" w:rsidRDefault="00CB7330" w:rsidP="00C52B62">
      <w:pPr>
        <w:spacing w:line="480" w:lineRule="auto"/>
        <w:rPr>
          <w:rFonts w:ascii="Arial" w:hAnsi="Arial" w:cs="Arial"/>
        </w:rPr>
      </w:pPr>
    </w:p>
    <w:p w:rsidR="00CB7330" w:rsidRDefault="00CB7330" w:rsidP="00C52B62">
      <w:pPr>
        <w:spacing w:line="480" w:lineRule="auto"/>
        <w:rPr>
          <w:rFonts w:ascii="Arial" w:hAnsi="Arial" w:cs="Arial"/>
        </w:rPr>
      </w:pPr>
    </w:p>
    <w:p w:rsidR="00CB7330" w:rsidRDefault="00CB7330" w:rsidP="00C52B62">
      <w:pPr>
        <w:spacing w:line="480" w:lineRule="auto"/>
        <w:rPr>
          <w:rFonts w:ascii="Arial" w:hAnsi="Arial" w:cs="Arial"/>
        </w:rPr>
      </w:pPr>
    </w:p>
    <w:p w:rsidR="00CB7330" w:rsidRDefault="00CB7330" w:rsidP="00C52B62">
      <w:pPr>
        <w:spacing w:line="480" w:lineRule="auto"/>
        <w:rPr>
          <w:rFonts w:ascii="Arial" w:hAnsi="Arial" w:cs="Arial"/>
        </w:rPr>
      </w:pPr>
    </w:p>
    <w:p w:rsidR="00CB7330" w:rsidRDefault="000F3CF8" w:rsidP="00C52B62">
      <w:pPr>
        <w:spacing w:line="480" w:lineRule="auto"/>
        <w:rPr>
          <w:rFonts w:ascii="Arial" w:hAnsi="Arial" w:cs="Arial"/>
        </w:rPr>
      </w:pPr>
      <w:r>
        <w:rPr>
          <w:rFonts w:ascii="Arial" w:hAnsi="Arial" w:cs="Arial"/>
          <w:noProof/>
          <w:lang w:eastAsia="fr-CA"/>
        </w:rPr>
        <w:drawing>
          <wp:inline distT="0" distB="0" distL="0" distR="0" wp14:anchorId="05922721" wp14:editId="52F3DDA7">
            <wp:extent cx="6357257" cy="3015342"/>
            <wp:effectExtent l="0" t="0" r="5715" b="1397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7330" w:rsidRDefault="00CB7330" w:rsidP="00C52B62">
      <w:pPr>
        <w:spacing w:line="480" w:lineRule="auto"/>
        <w:rPr>
          <w:rFonts w:ascii="Arial" w:hAnsi="Arial" w:cs="Arial"/>
        </w:rPr>
      </w:pPr>
    </w:p>
    <w:p w:rsidR="00CB7330" w:rsidRDefault="00CB7330" w:rsidP="00C52B62">
      <w:pPr>
        <w:spacing w:line="480" w:lineRule="auto"/>
        <w:rPr>
          <w:rFonts w:ascii="Arial" w:hAnsi="Arial" w:cs="Arial"/>
        </w:rPr>
      </w:pPr>
    </w:p>
    <w:p w:rsidR="00CB7330" w:rsidRDefault="00CB7330" w:rsidP="00C52B62">
      <w:pPr>
        <w:spacing w:line="480" w:lineRule="auto"/>
        <w:rPr>
          <w:rFonts w:ascii="Arial" w:hAnsi="Arial" w:cs="Arial"/>
        </w:rPr>
      </w:pPr>
    </w:p>
    <w:p w:rsidR="00B87CF2" w:rsidRDefault="00B87CF2" w:rsidP="00C52B62">
      <w:pPr>
        <w:spacing w:line="480" w:lineRule="auto"/>
        <w:rPr>
          <w:rFonts w:ascii="Arial" w:hAnsi="Arial" w:cs="Arial"/>
        </w:rPr>
      </w:pPr>
    </w:p>
    <w:p w:rsidR="00B87CF2" w:rsidRDefault="00B87CF2" w:rsidP="00C52B62">
      <w:pPr>
        <w:spacing w:line="480" w:lineRule="auto"/>
        <w:rPr>
          <w:rFonts w:ascii="Arial" w:hAnsi="Arial" w:cs="Arial"/>
        </w:rPr>
      </w:pPr>
    </w:p>
    <w:p w:rsidR="00B87CF2" w:rsidRDefault="00B87CF2" w:rsidP="00C52B62">
      <w:pPr>
        <w:spacing w:line="480" w:lineRule="auto"/>
        <w:rPr>
          <w:rFonts w:ascii="Arial" w:hAnsi="Arial" w:cs="Arial"/>
        </w:rPr>
      </w:pPr>
    </w:p>
    <w:p w:rsidR="00A44DF2" w:rsidRDefault="00A44DF2" w:rsidP="00C52B62">
      <w:pPr>
        <w:spacing w:line="480" w:lineRule="auto"/>
        <w:rPr>
          <w:rFonts w:ascii="Arial" w:hAnsi="Arial" w:cs="Arial"/>
        </w:rPr>
      </w:pPr>
    </w:p>
    <w:p w:rsidR="00A44DF2" w:rsidRDefault="00A44DF2" w:rsidP="00C52B62">
      <w:pPr>
        <w:spacing w:line="480" w:lineRule="auto"/>
        <w:rPr>
          <w:rFonts w:ascii="Arial" w:hAnsi="Arial" w:cs="Arial"/>
        </w:rPr>
      </w:pPr>
    </w:p>
    <w:p w:rsidR="00A44DF2" w:rsidRDefault="00A44DF2" w:rsidP="00C52B62">
      <w:pPr>
        <w:spacing w:line="480" w:lineRule="auto"/>
        <w:rPr>
          <w:rFonts w:ascii="Arial" w:hAnsi="Arial" w:cs="Arial"/>
        </w:rPr>
      </w:pPr>
    </w:p>
    <w:p w:rsidR="00A44DF2" w:rsidRPr="00F00B96" w:rsidRDefault="00E85E1D" w:rsidP="00C52B62">
      <w:pPr>
        <w:spacing w:line="480" w:lineRule="auto"/>
        <w:rPr>
          <w:rFonts w:ascii="Arial" w:hAnsi="Arial" w:cs="Arial"/>
        </w:rPr>
      </w:pPr>
      <w:r w:rsidRPr="00F00B96">
        <w:rPr>
          <w:rFonts w:ascii="Arial" w:hAnsi="Arial" w:cs="Arial"/>
        </w:rPr>
        <w:t>Question 3</w:t>
      </w:r>
    </w:p>
    <w:p w:rsidR="00F45D48" w:rsidRDefault="00F45D48" w:rsidP="00B367D3">
      <w:pPr>
        <w:spacing w:line="480" w:lineRule="auto"/>
        <w:ind w:left="360"/>
        <w:rPr>
          <w:rFonts w:ascii="Arial" w:hAnsi="Arial" w:cs="Arial"/>
          <w:b/>
          <w:sz w:val="20"/>
          <w:szCs w:val="20"/>
        </w:rPr>
      </w:pPr>
      <w:r w:rsidRPr="00F45D48">
        <w:rPr>
          <w:rFonts w:ascii="Arial" w:hAnsi="Arial" w:cs="Arial"/>
          <w:b/>
          <w:sz w:val="20"/>
          <w:szCs w:val="20"/>
        </w:rPr>
        <w:t>a.</w:t>
      </w:r>
      <w:r w:rsidRPr="00F45D48">
        <w:rPr>
          <w:rFonts w:ascii="Arial" w:hAnsi="Arial" w:cs="Arial"/>
          <w:b/>
          <w:sz w:val="20"/>
          <w:szCs w:val="20"/>
        </w:rPr>
        <w:tab/>
        <w:t>Identifiez et expliquez les quatre grandes fonctions de la Banque du Canada</w:t>
      </w:r>
    </w:p>
    <w:p w:rsidR="00B367D3" w:rsidRPr="000352E6" w:rsidRDefault="00EF30C1" w:rsidP="00B367D3">
      <w:pPr>
        <w:spacing w:line="480" w:lineRule="auto"/>
        <w:ind w:left="360"/>
        <w:rPr>
          <w:rFonts w:ascii="Arial" w:hAnsi="Arial" w:cs="Arial"/>
          <w:b/>
          <w:sz w:val="20"/>
          <w:szCs w:val="20"/>
        </w:rPr>
      </w:pPr>
      <w:r w:rsidRPr="000352E6">
        <w:rPr>
          <w:rFonts w:ascii="Arial" w:hAnsi="Arial" w:cs="Arial"/>
          <w:b/>
          <w:sz w:val="20"/>
          <w:szCs w:val="20"/>
        </w:rPr>
        <w:t>Politique Monétaire</w:t>
      </w:r>
    </w:p>
    <w:p w:rsidR="00EF30C1" w:rsidRPr="000352E6" w:rsidRDefault="00EF30C1" w:rsidP="00B367D3">
      <w:pPr>
        <w:spacing w:line="480" w:lineRule="auto"/>
        <w:ind w:left="360"/>
        <w:rPr>
          <w:rFonts w:ascii="Arial" w:hAnsi="Arial" w:cs="Arial"/>
          <w:sz w:val="20"/>
          <w:szCs w:val="20"/>
        </w:rPr>
      </w:pPr>
      <w:r w:rsidRPr="000352E6">
        <w:rPr>
          <w:rFonts w:ascii="Arial" w:hAnsi="Arial" w:cs="Arial"/>
          <w:sz w:val="20"/>
          <w:szCs w:val="20"/>
        </w:rPr>
        <w:t>Le prin</w:t>
      </w:r>
      <w:r w:rsidR="00331049" w:rsidRPr="000352E6">
        <w:rPr>
          <w:rFonts w:ascii="Arial" w:hAnsi="Arial" w:cs="Arial"/>
          <w:sz w:val="20"/>
          <w:szCs w:val="20"/>
        </w:rPr>
        <w:t>cipal objectif de la politique m</w:t>
      </w:r>
      <w:r w:rsidRPr="000352E6">
        <w:rPr>
          <w:rFonts w:ascii="Arial" w:hAnsi="Arial" w:cs="Arial"/>
          <w:sz w:val="20"/>
          <w:szCs w:val="20"/>
        </w:rPr>
        <w:t>onétaire est de conserver et de préserver la valeur de la monnaie tout en maintenant l’</w:t>
      </w:r>
      <w:r w:rsidR="00D82C28" w:rsidRPr="000352E6">
        <w:rPr>
          <w:rFonts w:ascii="Arial" w:hAnsi="Arial" w:cs="Arial"/>
          <w:sz w:val="20"/>
          <w:szCs w:val="20"/>
        </w:rPr>
        <w:t xml:space="preserve">inflation sous contrôle c’est-à-dire en veillant à ce qu’elle demeure </w:t>
      </w:r>
      <w:r w:rsidR="00B25AC4" w:rsidRPr="000352E6">
        <w:rPr>
          <w:rFonts w:ascii="Arial" w:hAnsi="Arial" w:cs="Arial"/>
          <w:sz w:val="20"/>
          <w:szCs w:val="20"/>
        </w:rPr>
        <w:t xml:space="preserve">à un niveau bas, </w:t>
      </w:r>
      <w:r w:rsidR="00D82C28" w:rsidRPr="000352E6">
        <w:rPr>
          <w:rFonts w:ascii="Arial" w:hAnsi="Arial" w:cs="Arial"/>
          <w:sz w:val="20"/>
          <w:szCs w:val="20"/>
        </w:rPr>
        <w:t>stable</w:t>
      </w:r>
      <w:r w:rsidR="00904B2B" w:rsidRPr="000352E6">
        <w:rPr>
          <w:rFonts w:ascii="Arial" w:hAnsi="Arial" w:cs="Arial"/>
          <w:sz w:val="20"/>
          <w:szCs w:val="20"/>
        </w:rPr>
        <w:t xml:space="preserve"> et prévisible.</w:t>
      </w:r>
    </w:p>
    <w:p w:rsidR="00EA3EB7" w:rsidRPr="000352E6" w:rsidRDefault="00EA3EB7" w:rsidP="00B367D3">
      <w:pPr>
        <w:spacing w:line="480" w:lineRule="auto"/>
        <w:ind w:left="360"/>
        <w:rPr>
          <w:rFonts w:ascii="Arial" w:hAnsi="Arial" w:cs="Arial"/>
          <w:sz w:val="20"/>
          <w:szCs w:val="20"/>
        </w:rPr>
      </w:pPr>
      <w:r w:rsidRPr="000352E6">
        <w:rPr>
          <w:rFonts w:ascii="Arial" w:hAnsi="Arial" w:cs="Arial"/>
          <w:sz w:val="20"/>
          <w:szCs w:val="20"/>
        </w:rPr>
        <w:t>La politique monétaire participe ainsi à la création de nouveaux emplois, favorise l’investissement à long terme entre autres avantages. Les principaux outils permettant son fonctionnement sont : La cible de maitrise de l’inflation et le taux de change flottant.</w:t>
      </w:r>
    </w:p>
    <w:p w:rsidR="00183756" w:rsidRPr="000352E6" w:rsidRDefault="00183756" w:rsidP="00B367D3">
      <w:pPr>
        <w:spacing w:line="480" w:lineRule="auto"/>
        <w:ind w:left="360"/>
        <w:rPr>
          <w:rFonts w:ascii="Arial" w:hAnsi="Arial" w:cs="Arial"/>
          <w:b/>
          <w:sz w:val="20"/>
          <w:szCs w:val="20"/>
        </w:rPr>
      </w:pPr>
      <w:r w:rsidRPr="000352E6">
        <w:rPr>
          <w:rFonts w:ascii="Arial" w:hAnsi="Arial" w:cs="Arial"/>
          <w:b/>
          <w:sz w:val="20"/>
          <w:szCs w:val="20"/>
        </w:rPr>
        <w:t>Système financier</w:t>
      </w:r>
    </w:p>
    <w:p w:rsidR="00B367D3" w:rsidRPr="000352E6" w:rsidRDefault="000C1DF8" w:rsidP="00B367D3">
      <w:pPr>
        <w:spacing w:line="480" w:lineRule="auto"/>
        <w:ind w:left="360"/>
        <w:rPr>
          <w:rFonts w:ascii="Arial" w:hAnsi="Arial" w:cs="Arial"/>
          <w:sz w:val="20"/>
          <w:szCs w:val="20"/>
        </w:rPr>
      </w:pPr>
      <w:r w:rsidRPr="000352E6">
        <w:rPr>
          <w:rFonts w:ascii="Arial" w:hAnsi="Arial" w:cs="Arial"/>
          <w:sz w:val="20"/>
          <w:szCs w:val="20"/>
        </w:rPr>
        <w:t>Il joue un rôle primordial</w:t>
      </w:r>
      <w:r w:rsidR="003D3EB7" w:rsidRPr="000352E6">
        <w:rPr>
          <w:rFonts w:ascii="Arial" w:hAnsi="Arial" w:cs="Arial"/>
          <w:sz w:val="20"/>
          <w:szCs w:val="20"/>
        </w:rPr>
        <w:t xml:space="preserve"> dans le fonctionnement de l’économie canadienne et est constitué de diverses institutions financières : les banques, coopératives de crédit, des marchés </w:t>
      </w:r>
      <w:r w:rsidR="003D3EB7" w:rsidRPr="000352E6">
        <w:rPr>
          <w:rFonts w:ascii="Arial" w:hAnsi="Arial" w:cs="Arial"/>
          <w:sz w:val="20"/>
          <w:szCs w:val="20"/>
        </w:rPr>
        <w:lastRenderedPageBreak/>
        <w:t xml:space="preserve">financiers entres autres. </w:t>
      </w:r>
      <w:r w:rsidR="00AD7391">
        <w:rPr>
          <w:rFonts w:ascii="Arial" w:hAnsi="Arial" w:cs="Arial"/>
          <w:sz w:val="20"/>
          <w:szCs w:val="20"/>
        </w:rPr>
        <w:t>L</w:t>
      </w:r>
      <w:r w:rsidR="003D3EB7" w:rsidRPr="000352E6">
        <w:rPr>
          <w:rFonts w:ascii="Arial" w:hAnsi="Arial" w:cs="Arial"/>
          <w:sz w:val="20"/>
          <w:szCs w:val="20"/>
        </w:rPr>
        <w:t>a plupart des activités commerciales (Épargne, emprunt, investissement…)</w:t>
      </w:r>
      <w:r w:rsidR="00AD7391">
        <w:rPr>
          <w:rFonts w:ascii="Arial" w:hAnsi="Arial" w:cs="Arial"/>
          <w:sz w:val="20"/>
          <w:szCs w:val="20"/>
        </w:rPr>
        <w:t xml:space="preserve"> sont menées par l’entremise du système financier.</w:t>
      </w:r>
    </w:p>
    <w:p w:rsidR="00DA233A" w:rsidRPr="000352E6" w:rsidRDefault="00DA233A" w:rsidP="00B367D3">
      <w:pPr>
        <w:spacing w:line="480" w:lineRule="auto"/>
        <w:ind w:left="360"/>
        <w:rPr>
          <w:rFonts w:ascii="Arial" w:hAnsi="Arial" w:cs="Arial"/>
          <w:sz w:val="20"/>
          <w:szCs w:val="20"/>
        </w:rPr>
      </w:pPr>
      <w:r w:rsidRPr="000352E6">
        <w:rPr>
          <w:rFonts w:ascii="Arial" w:hAnsi="Arial" w:cs="Arial"/>
          <w:sz w:val="20"/>
          <w:szCs w:val="20"/>
        </w:rPr>
        <w:t>Afin de conserver le bon fonctionnement des éléments du système, la banque du Canada travaille avec d’autres organismes et acteurs de marché.</w:t>
      </w:r>
    </w:p>
    <w:p w:rsidR="00367C37" w:rsidRPr="000352E6" w:rsidRDefault="00367C37" w:rsidP="00B367D3">
      <w:pPr>
        <w:spacing w:line="480" w:lineRule="auto"/>
        <w:ind w:left="360"/>
        <w:rPr>
          <w:rFonts w:ascii="Arial" w:hAnsi="Arial" w:cs="Arial"/>
          <w:b/>
          <w:sz w:val="20"/>
          <w:szCs w:val="20"/>
        </w:rPr>
      </w:pPr>
      <w:r w:rsidRPr="000352E6">
        <w:rPr>
          <w:rFonts w:ascii="Arial" w:hAnsi="Arial" w:cs="Arial"/>
          <w:b/>
          <w:sz w:val="20"/>
          <w:szCs w:val="20"/>
        </w:rPr>
        <w:t>Monnaie</w:t>
      </w:r>
    </w:p>
    <w:p w:rsidR="00C904BE" w:rsidRPr="000352E6" w:rsidRDefault="00FF1269" w:rsidP="00B367D3">
      <w:pPr>
        <w:spacing w:line="480" w:lineRule="auto"/>
        <w:ind w:left="360"/>
        <w:rPr>
          <w:rFonts w:ascii="Arial" w:hAnsi="Arial" w:cs="Arial"/>
          <w:sz w:val="20"/>
          <w:szCs w:val="20"/>
        </w:rPr>
      </w:pPr>
      <w:r w:rsidRPr="000352E6">
        <w:rPr>
          <w:rFonts w:ascii="Arial" w:hAnsi="Arial" w:cs="Arial"/>
          <w:sz w:val="20"/>
          <w:szCs w:val="20"/>
        </w:rPr>
        <w:t xml:space="preserve">Fournie </w:t>
      </w:r>
      <w:r w:rsidR="00796F40" w:rsidRPr="000352E6">
        <w:rPr>
          <w:rFonts w:ascii="Arial" w:hAnsi="Arial" w:cs="Arial"/>
          <w:sz w:val="20"/>
          <w:szCs w:val="20"/>
        </w:rPr>
        <w:t>par la banque du Ca</w:t>
      </w:r>
      <w:r w:rsidR="00C904BE" w:rsidRPr="000352E6">
        <w:rPr>
          <w:rFonts w:ascii="Arial" w:hAnsi="Arial" w:cs="Arial"/>
          <w:sz w:val="20"/>
          <w:szCs w:val="20"/>
        </w:rPr>
        <w:t>nada sous forme de billets de banque</w:t>
      </w:r>
      <w:r w:rsidR="0090045B" w:rsidRPr="000352E6">
        <w:rPr>
          <w:rFonts w:ascii="Arial" w:hAnsi="Arial" w:cs="Arial"/>
          <w:sz w:val="20"/>
          <w:szCs w:val="20"/>
        </w:rPr>
        <w:t xml:space="preserve"> de qualité et difficiles </w:t>
      </w:r>
      <w:r w:rsidR="002333E6" w:rsidRPr="000352E6">
        <w:rPr>
          <w:rFonts w:ascii="Arial" w:hAnsi="Arial" w:cs="Arial"/>
          <w:sz w:val="20"/>
          <w:szCs w:val="20"/>
        </w:rPr>
        <w:t>à</w:t>
      </w:r>
      <w:r w:rsidR="0090045B" w:rsidRPr="000352E6">
        <w:rPr>
          <w:rFonts w:ascii="Arial" w:hAnsi="Arial" w:cs="Arial"/>
          <w:sz w:val="20"/>
          <w:szCs w:val="20"/>
        </w:rPr>
        <w:t xml:space="preserve"> contrefaire</w:t>
      </w:r>
      <w:r w:rsidR="00C904BE" w:rsidRPr="000352E6">
        <w:rPr>
          <w:rFonts w:ascii="Arial" w:hAnsi="Arial" w:cs="Arial"/>
          <w:sz w:val="20"/>
          <w:szCs w:val="20"/>
        </w:rPr>
        <w:t xml:space="preserve"> afin d’être utilisé en toute confiance</w:t>
      </w:r>
      <w:r w:rsidR="0090045B" w:rsidRPr="000352E6">
        <w:rPr>
          <w:rFonts w:ascii="Arial" w:hAnsi="Arial" w:cs="Arial"/>
          <w:sz w:val="20"/>
          <w:szCs w:val="20"/>
        </w:rPr>
        <w:t xml:space="preserve"> par les Canadiens.</w:t>
      </w:r>
    </w:p>
    <w:p w:rsidR="009F6500" w:rsidRPr="000352E6" w:rsidRDefault="009F6500" w:rsidP="009F6500">
      <w:pPr>
        <w:spacing w:line="480" w:lineRule="auto"/>
        <w:rPr>
          <w:rFonts w:ascii="Arial" w:hAnsi="Arial" w:cs="Arial"/>
          <w:sz w:val="20"/>
          <w:szCs w:val="20"/>
        </w:rPr>
      </w:pPr>
    </w:p>
    <w:p w:rsidR="000352E6" w:rsidRDefault="000352E6" w:rsidP="009F6500">
      <w:pPr>
        <w:spacing w:line="480" w:lineRule="auto"/>
        <w:rPr>
          <w:rFonts w:ascii="Arial" w:hAnsi="Arial" w:cs="Arial"/>
          <w:b/>
          <w:sz w:val="20"/>
          <w:szCs w:val="20"/>
        </w:rPr>
      </w:pPr>
    </w:p>
    <w:p w:rsidR="000352E6" w:rsidRDefault="000352E6" w:rsidP="009F6500">
      <w:pPr>
        <w:spacing w:line="480" w:lineRule="auto"/>
        <w:rPr>
          <w:rFonts w:ascii="Arial" w:hAnsi="Arial" w:cs="Arial"/>
          <w:b/>
          <w:sz w:val="20"/>
          <w:szCs w:val="20"/>
        </w:rPr>
      </w:pPr>
    </w:p>
    <w:p w:rsidR="00D34D76" w:rsidRDefault="00D34D76" w:rsidP="009F6500">
      <w:pPr>
        <w:spacing w:line="480" w:lineRule="auto"/>
        <w:rPr>
          <w:rFonts w:ascii="Arial" w:hAnsi="Arial" w:cs="Arial"/>
          <w:b/>
          <w:sz w:val="20"/>
          <w:szCs w:val="20"/>
        </w:rPr>
      </w:pPr>
    </w:p>
    <w:p w:rsidR="009F6500" w:rsidRPr="000352E6" w:rsidRDefault="009F6500" w:rsidP="009F6500">
      <w:pPr>
        <w:spacing w:line="480" w:lineRule="auto"/>
        <w:rPr>
          <w:rFonts w:ascii="Arial" w:hAnsi="Arial" w:cs="Arial"/>
          <w:b/>
          <w:sz w:val="20"/>
          <w:szCs w:val="20"/>
        </w:rPr>
      </w:pPr>
      <w:r w:rsidRPr="000352E6">
        <w:rPr>
          <w:rFonts w:ascii="Arial" w:hAnsi="Arial" w:cs="Arial"/>
          <w:b/>
          <w:sz w:val="20"/>
          <w:szCs w:val="20"/>
        </w:rPr>
        <w:t xml:space="preserve">Gestion financière </w:t>
      </w:r>
    </w:p>
    <w:p w:rsidR="008045E9" w:rsidRDefault="008045E9" w:rsidP="009F6500">
      <w:pPr>
        <w:spacing w:line="480" w:lineRule="auto"/>
        <w:rPr>
          <w:rFonts w:ascii="Arial" w:hAnsi="Arial" w:cs="Arial"/>
          <w:sz w:val="20"/>
          <w:szCs w:val="20"/>
        </w:rPr>
      </w:pPr>
      <w:r w:rsidRPr="000352E6">
        <w:rPr>
          <w:rFonts w:ascii="Arial" w:hAnsi="Arial" w:cs="Arial"/>
          <w:sz w:val="20"/>
          <w:szCs w:val="20"/>
        </w:rPr>
        <w:t>La Banque du Canada a plusieurs responsabilités envers le gouvernement Canadien, notamment entant qu’Agent financier pour ce dernier. Elle a aussi les responsabilités de banquier et gestionnaire de la trésorerie d’état,</w:t>
      </w:r>
      <w:r w:rsidRPr="000352E6">
        <w:rPr>
          <w:sz w:val="20"/>
          <w:szCs w:val="20"/>
        </w:rPr>
        <w:t xml:space="preserve"> </w:t>
      </w:r>
      <w:r w:rsidRPr="000352E6">
        <w:rPr>
          <w:rFonts w:ascii="Arial" w:hAnsi="Arial" w:cs="Arial"/>
          <w:sz w:val="20"/>
          <w:szCs w:val="20"/>
        </w:rPr>
        <w:t xml:space="preserve">de gestionnaire des réserves de change et de la dette publique (ou dette intérieure) </w:t>
      </w:r>
      <w:r w:rsidR="00E45E77" w:rsidRPr="000352E6">
        <w:rPr>
          <w:rFonts w:ascii="Arial" w:hAnsi="Arial" w:cs="Arial"/>
          <w:sz w:val="20"/>
          <w:szCs w:val="20"/>
        </w:rPr>
        <w:t>et sert aussi de conseiller au ministre fédéral des finances a l’appui du placement des titres au détail.</w:t>
      </w: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Default="005A7B61" w:rsidP="009F6500">
      <w:pPr>
        <w:spacing w:line="480" w:lineRule="auto"/>
        <w:rPr>
          <w:rFonts w:ascii="Arial" w:hAnsi="Arial" w:cs="Arial"/>
          <w:sz w:val="20"/>
          <w:szCs w:val="20"/>
        </w:rPr>
      </w:pPr>
    </w:p>
    <w:p w:rsidR="005A7B61" w:rsidRPr="00222716" w:rsidRDefault="005A7B61" w:rsidP="009F6500">
      <w:pPr>
        <w:spacing w:line="480" w:lineRule="auto"/>
        <w:rPr>
          <w:rFonts w:ascii="Arial" w:hAnsi="Arial" w:cs="Arial"/>
          <w:sz w:val="20"/>
          <w:szCs w:val="20"/>
        </w:rPr>
      </w:pPr>
    </w:p>
    <w:p w:rsidR="009E2C7D" w:rsidRPr="00222716" w:rsidRDefault="00141DD9" w:rsidP="009E2C7D">
      <w:pPr>
        <w:pStyle w:val="Paragraphedeliste"/>
        <w:numPr>
          <w:ilvl w:val="0"/>
          <w:numId w:val="4"/>
        </w:numPr>
        <w:spacing w:line="480" w:lineRule="auto"/>
        <w:rPr>
          <w:rFonts w:ascii="Arial" w:hAnsi="Arial" w:cs="Arial"/>
          <w:sz w:val="20"/>
          <w:szCs w:val="20"/>
        </w:rPr>
      </w:pPr>
      <w:r w:rsidRPr="00222716">
        <w:rPr>
          <w:rFonts w:ascii="Arial" w:hAnsi="Arial" w:cs="Arial"/>
          <w:sz w:val="20"/>
          <w:szCs w:val="20"/>
        </w:rPr>
        <w:t>Quatre indicateurs clés de la Banque du Canada</w:t>
      </w:r>
    </w:p>
    <w:p w:rsidR="00DA233A" w:rsidRDefault="00222716" w:rsidP="00B367D3">
      <w:pPr>
        <w:spacing w:line="480" w:lineRule="auto"/>
        <w:ind w:left="360"/>
        <w:rPr>
          <w:rFonts w:ascii="Arial" w:hAnsi="Arial" w:cs="Arial"/>
          <w:b/>
          <w:sz w:val="20"/>
          <w:szCs w:val="20"/>
        </w:rPr>
      </w:pPr>
      <w:r w:rsidRPr="00222716">
        <w:rPr>
          <w:rFonts w:ascii="Arial" w:hAnsi="Arial" w:cs="Arial"/>
          <w:b/>
          <w:sz w:val="20"/>
          <w:szCs w:val="20"/>
        </w:rPr>
        <w:t>Cible de maitrise de l’inflation</w:t>
      </w:r>
    </w:p>
    <w:p w:rsidR="00362AE3" w:rsidRDefault="008B73B4" w:rsidP="00155A1E">
      <w:pPr>
        <w:spacing w:line="480" w:lineRule="auto"/>
        <w:ind w:left="360"/>
        <w:rPr>
          <w:rFonts w:ascii="Arial" w:hAnsi="Arial" w:cs="Arial"/>
          <w:sz w:val="20"/>
          <w:szCs w:val="20"/>
        </w:rPr>
      </w:pPr>
      <w:r>
        <w:rPr>
          <w:rFonts w:ascii="Arial" w:hAnsi="Arial" w:cs="Arial"/>
          <w:sz w:val="20"/>
          <w:szCs w:val="20"/>
        </w:rPr>
        <w:t xml:space="preserve">Le régime de ciblage de l’inflation a été adopté en 1991 et </w:t>
      </w:r>
      <w:r w:rsidR="006E7805">
        <w:rPr>
          <w:rFonts w:ascii="Arial" w:hAnsi="Arial" w:cs="Arial"/>
          <w:sz w:val="20"/>
          <w:szCs w:val="20"/>
        </w:rPr>
        <w:t>la cible de maitrise de l’inflation a été reconduite 5 fois. L’</w:t>
      </w:r>
      <w:r w:rsidR="00485221">
        <w:rPr>
          <w:rFonts w:ascii="Arial" w:hAnsi="Arial" w:cs="Arial"/>
          <w:sz w:val="20"/>
          <w:szCs w:val="20"/>
        </w:rPr>
        <w:t>objectif</w:t>
      </w:r>
      <w:r w:rsidR="006E7805">
        <w:rPr>
          <w:rFonts w:ascii="Arial" w:hAnsi="Arial" w:cs="Arial"/>
          <w:sz w:val="20"/>
          <w:szCs w:val="20"/>
        </w:rPr>
        <w:t xml:space="preserve"> du régime de ciblage de l’inflation</w:t>
      </w:r>
      <w:r w:rsidR="00485221">
        <w:rPr>
          <w:rFonts w:ascii="Arial" w:hAnsi="Arial" w:cs="Arial"/>
          <w:sz w:val="20"/>
          <w:szCs w:val="20"/>
        </w:rPr>
        <w:t xml:space="preserve"> consiste au maintien à moyen terme du taux d’accroissement global de l’IPC </w:t>
      </w:r>
      <w:r>
        <w:rPr>
          <w:rFonts w:ascii="Arial" w:hAnsi="Arial" w:cs="Arial"/>
          <w:sz w:val="20"/>
          <w:szCs w:val="20"/>
        </w:rPr>
        <w:t>a 2%</w:t>
      </w:r>
      <w:r w:rsidR="000740FC">
        <w:rPr>
          <w:rFonts w:ascii="Arial" w:hAnsi="Arial" w:cs="Arial"/>
          <w:sz w:val="20"/>
          <w:szCs w:val="20"/>
        </w:rPr>
        <w:t xml:space="preserve"> avec une fourchette de taux pouvant aller de 1 à 3%, que la Banque sera en mesure de faire varier positivement ou négativement selon les circonstances.</w:t>
      </w:r>
    </w:p>
    <w:p w:rsidR="002D281F" w:rsidRDefault="002D281F" w:rsidP="002D281F">
      <w:pPr>
        <w:spacing w:line="480" w:lineRule="auto"/>
        <w:ind w:left="360"/>
        <w:rPr>
          <w:rFonts w:ascii="Arial" w:hAnsi="Arial" w:cs="Arial"/>
          <w:b/>
          <w:sz w:val="20"/>
          <w:szCs w:val="20"/>
        </w:rPr>
      </w:pPr>
      <w:r>
        <w:rPr>
          <w:rFonts w:ascii="Arial" w:hAnsi="Arial" w:cs="Arial"/>
          <w:b/>
          <w:sz w:val="20"/>
          <w:szCs w:val="20"/>
        </w:rPr>
        <w:t>Indicateur de l’inflation tendancielle</w:t>
      </w:r>
    </w:p>
    <w:p w:rsidR="002D281F" w:rsidRDefault="002D281F" w:rsidP="00507FEF">
      <w:pPr>
        <w:spacing w:line="480" w:lineRule="auto"/>
        <w:ind w:left="360"/>
        <w:rPr>
          <w:rFonts w:ascii="Arial" w:hAnsi="Arial" w:cs="Arial"/>
          <w:sz w:val="20"/>
          <w:szCs w:val="20"/>
        </w:rPr>
      </w:pPr>
      <w:r>
        <w:rPr>
          <w:rFonts w:ascii="Arial" w:hAnsi="Arial" w:cs="Arial"/>
          <w:sz w:val="20"/>
          <w:szCs w:val="20"/>
        </w:rPr>
        <w:t>Du a certaines fluctuations importantes de l’IPC global</w:t>
      </w:r>
      <w:r w:rsidR="00DE2669">
        <w:rPr>
          <w:rFonts w:ascii="Arial" w:hAnsi="Arial" w:cs="Arial"/>
          <w:sz w:val="20"/>
          <w:szCs w:val="20"/>
        </w:rPr>
        <w:t xml:space="preserve"> à</w:t>
      </w:r>
      <w:r w:rsidR="00507FEF">
        <w:rPr>
          <w:rFonts w:ascii="Arial" w:hAnsi="Arial" w:cs="Arial"/>
          <w:sz w:val="20"/>
          <w:szCs w:val="20"/>
        </w:rPr>
        <w:t xml:space="preserve"> court terme, et vu</w:t>
      </w:r>
      <w:r w:rsidR="00DE2669">
        <w:rPr>
          <w:rFonts w:ascii="Arial" w:hAnsi="Arial" w:cs="Arial"/>
          <w:sz w:val="20"/>
          <w:szCs w:val="20"/>
        </w:rPr>
        <w:t xml:space="preserve"> que</w:t>
      </w:r>
      <w:r w:rsidR="00507FEF">
        <w:rPr>
          <w:rFonts w:ascii="Arial" w:hAnsi="Arial" w:cs="Arial"/>
          <w:sz w:val="20"/>
          <w:szCs w:val="20"/>
        </w:rPr>
        <w:t xml:space="preserve"> la Banque cherche à faire </w:t>
      </w:r>
      <w:r w:rsidR="00DE2669">
        <w:rPr>
          <w:rFonts w:ascii="Arial" w:hAnsi="Arial" w:cs="Arial"/>
          <w:sz w:val="20"/>
          <w:szCs w:val="20"/>
        </w:rPr>
        <w:t>abstraction de cet indice pour plus se fier aux mesures de l’inflation,</w:t>
      </w:r>
      <w:r>
        <w:rPr>
          <w:rFonts w:ascii="Arial" w:hAnsi="Arial" w:cs="Arial"/>
          <w:sz w:val="20"/>
          <w:szCs w:val="20"/>
        </w:rPr>
        <w:t xml:space="preserve"> L’</w:t>
      </w:r>
      <w:r w:rsidR="00DE2669">
        <w:rPr>
          <w:rFonts w:ascii="Arial" w:hAnsi="Arial" w:cs="Arial"/>
          <w:sz w:val="20"/>
          <w:szCs w:val="20"/>
        </w:rPr>
        <w:t xml:space="preserve">inflation fondamentale servira </w:t>
      </w:r>
      <w:r>
        <w:rPr>
          <w:rFonts w:ascii="Arial" w:hAnsi="Arial" w:cs="Arial"/>
          <w:sz w:val="20"/>
          <w:szCs w:val="20"/>
        </w:rPr>
        <w:t>de guide dans la conduite de la politique monétaire pour la Banque</w:t>
      </w:r>
      <w:r w:rsidR="00DE2669">
        <w:rPr>
          <w:rFonts w:ascii="Arial" w:hAnsi="Arial" w:cs="Arial"/>
          <w:sz w:val="20"/>
          <w:szCs w:val="20"/>
        </w:rPr>
        <w:t xml:space="preserve"> qui la suivra de près afin de faciliter l’atteinte de la cible fixée pour l’IPC global.</w:t>
      </w:r>
    </w:p>
    <w:p w:rsidR="00DE2669" w:rsidRDefault="00DE2669" w:rsidP="002D281F">
      <w:pPr>
        <w:spacing w:line="480" w:lineRule="auto"/>
        <w:ind w:left="360"/>
        <w:rPr>
          <w:rFonts w:ascii="Arial" w:hAnsi="Arial" w:cs="Arial"/>
          <w:b/>
          <w:sz w:val="20"/>
          <w:szCs w:val="20"/>
        </w:rPr>
      </w:pPr>
      <w:r w:rsidRPr="00DE2669">
        <w:rPr>
          <w:rFonts w:ascii="Arial" w:hAnsi="Arial" w:cs="Arial"/>
          <w:b/>
          <w:sz w:val="20"/>
          <w:szCs w:val="20"/>
        </w:rPr>
        <w:t>Fourchette opérationnelle du taux de financement a un jour</w:t>
      </w:r>
    </w:p>
    <w:p w:rsidR="00607AE1" w:rsidRDefault="00607AE1" w:rsidP="002D281F">
      <w:pPr>
        <w:spacing w:line="480" w:lineRule="auto"/>
        <w:ind w:left="360"/>
        <w:rPr>
          <w:rFonts w:ascii="Arial" w:hAnsi="Arial" w:cs="Arial"/>
          <w:sz w:val="20"/>
          <w:szCs w:val="20"/>
        </w:rPr>
      </w:pPr>
      <w:r>
        <w:rPr>
          <w:rFonts w:ascii="Arial" w:hAnsi="Arial" w:cs="Arial"/>
          <w:sz w:val="20"/>
          <w:szCs w:val="20"/>
        </w:rPr>
        <w:lastRenderedPageBreak/>
        <w:t>Dans le cadre de la mise en œuvre de la politique monétaire, la Banque du Canada augmente ou diminue le taux</w:t>
      </w:r>
      <w:r w:rsidR="00F77A5F">
        <w:rPr>
          <w:rFonts w:ascii="Arial" w:hAnsi="Arial" w:cs="Arial"/>
          <w:sz w:val="20"/>
          <w:szCs w:val="20"/>
        </w:rPr>
        <w:t xml:space="preserve"> cible du financement a un jour. Variations qui influent également sur les autres taux d’intérêt</w:t>
      </w:r>
      <w:r w:rsidR="005E7A75">
        <w:rPr>
          <w:rFonts w:ascii="Arial" w:hAnsi="Arial" w:cs="Arial"/>
          <w:sz w:val="20"/>
          <w:szCs w:val="20"/>
        </w:rPr>
        <w:t xml:space="preserve"> et le taux de change du dollar canadien.</w:t>
      </w:r>
    </w:p>
    <w:p w:rsidR="005E7A75" w:rsidRDefault="005E7A75" w:rsidP="002D281F">
      <w:pPr>
        <w:spacing w:line="480" w:lineRule="auto"/>
        <w:ind w:left="360"/>
        <w:rPr>
          <w:rFonts w:ascii="Arial" w:hAnsi="Arial" w:cs="Arial"/>
          <w:sz w:val="20"/>
          <w:szCs w:val="20"/>
        </w:rPr>
      </w:pPr>
      <w:r w:rsidRPr="005E7A75">
        <w:rPr>
          <w:rFonts w:ascii="Arial" w:hAnsi="Arial" w:cs="Arial"/>
          <w:sz w:val="20"/>
          <w:szCs w:val="20"/>
        </w:rPr>
        <w:t>Le taux du financement à un jour est le taux d’intérêt auquel les principales institutions financières se prêtent des fonds pour une durée d’un jour</w:t>
      </w:r>
      <w:r w:rsidR="00730E31">
        <w:rPr>
          <w:rFonts w:ascii="Arial" w:hAnsi="Arial" w:cs="Arial"/>
          <w:sz w:val="20"/>
          <w:szCs w:val="20"/>
        </w:rPr>
        <w:t>, et la valeur cible de ce taux, appelée « taux directeur </w:t>
      </w:r>
      <w:r w:rsidR="00786065">
        <w:rPr>
          <w:rFonts w:ascii="Arial" w:hAnsi="Arial" w:cs="Arial"/>
          <w:sz w:val="20"/>
          <w:szCs w:val="20"/>
        </w:rPr>
        <w:t xml:space="preserve">de la banque </w:t>
      </w:r>
      <w:r w:rsidR="00730E31">
        <w:rPr>
          <w:rFonts w:ascii="Arial" w:hAnsi="Arial" w:cs="Arial"/>
          <w:sz w:val="20"/>
          <w:szCs w:val="20"/>
        </w:rPr>
        <w:t>» est fixée par la Banque.</w:t>
      </w:r>
    </w:p>
    <w:p w:rsidR="00A4670F" w:rsidRDefault="00A4670F" w:rsidP="002D281F">
      <w:pPr>
        <w:spacing w:line="480" w:lineRule="auto"/>
        <w:ind w:left="360"/>
        <w:rPr>
          <w:rFonts w:ascii="Arial" w:hAnsi="Arial" w:cs="Arial"/>
          <w:b/>
          <w:sz w:val="20"/>
          <w:szCs w:val="20"/>
        </w:rPr>
      </w:pPr>
      <w:r w:rsidRPr="00A4670F">
        <w:rPr>
          <w:rFonts w:ascii="Arial" w:hAnsi="Arial" w:cs="Arial"/>
          <w:b/>
          <w:sz w:val="20"/>
          <w:szCs w:val="20"/>
        </w:rPr>
        <w:t>Taux de changes quotidiens à midi</w:t>
      </w:r>
    </w:p>
    <w:p w:rsidR="007F4719" w:rsidRDefault="0089421D" w:rsidP="002D281F">
      <w:pPr>
        <w:spacing w:line="480" w:lineRule="auto"/>
        <w:ind w:left="360"/>
        <w:rPr>
          <w:rFonts w:ascii="Arial" w:hAnsi="Arial" w:cs="Arial"/>
          <w:sz w:val="20"/>
          <w:szCs w:val="20"/>
        </w:rPr>
      </w:pPr>
      <w:r>
        <w:rPr>
          <w:rFonts w:ascii="Arial" w:hAnsi="Arial" w:cs="Arial"/>
          <w:sz w:val="20"/>
          <w:szCs w:val="20"/>
        </w:rPr>
        <w:t>Le taux de change correspond au prix d’une devise telle qu’exprimée dans une autre.</w:t>
      </w:r>
      <w:r w:rsidR="00C31D13">
        <w:rPr>
          <w:rFonts w:ascii="Arial" w:hAnsi="Arial" w:cs="Arial"/>
          <w:sz w:val="20"/>
          <w:szCs w:val="20"/>
        </w:rPr>
        <w:t xml:space="preserve"> Ce taux varie quotidiennement et sa nouvelle valeur est évaluée à la mi-journée.</w:t>
      </w:r>
    </w:p>
    <w:p w:rsidR="00133058" w:rsidRDefault="00133058" w:rsidP="002D281F">
      <w:pPr>
        <w:spacing w:line="480" w:lineRule="auto"/>
        <w:ind w:left="360"/>
        <w:rPr>
          <w:rFonts w:ascii="Arial" w:hAnsi="Arial" w:cs="Arial"/>
          <w:sz w:val="20"/>
          <w:szCs w:val="20"/>
        </w:rPr>
      </w:pPr>
      <w:r>
        <w:rPr>
          <w:rFonts w:ascii="Arial" w:hAnsi="Arial" w:cs="Arial"/>
          <w:sz w:val="20"/>
          <w:szCs w:val="20"/>
        </w:rPr>
        <w:t xml:space="preserve">Source taux de change : </w:t>
      </w:r>
      <w:hyperlink r:id="rId7" w:history="1">
        <w:r w:rsidRPr="001C44D7">
          <w:rPr>
            <w:rStyle w:val="Lienhypertexte"/>
            <w:rFonts w:ascii="Arial" w:hAnsi="Arial" w:cs="Arial"/>
            <w:sz w:val="20"/>
            <w:szCs w:val="20"/>
          </w:rPr>
          <w:t>http://www.banqueducanada.ca/wp-content/uploads/2010/11/taux_change.pdf</w:t>
        </w:r>
      </w:hyperlink>
    </w:p>
    <w:p w:rsidR="00133058" w:rsidRDefault="00133058" w:rsidP="002D281F">
      <w:pPr>
        <w:spacing w:line="480" w:lineRule="auto"/>
        <w:ind w:left="360"/>
        <w:rPr>
          <w:rFonts w:ascii="Arial" w:hAnsi="Arial" w:cs="Arial"/>
          <w:sz w:val="20"/>
          <w:szCs w:val="20"/>
        </w:rPr>
      </w:pPr>
    </w:p>
    <w:p w:rsidR="00F65F24" w:rsidRDefault="00F65F24" w:rsidP="002D281F">
      <w:pPr>
        <w:spacing w:line="480" w:lineRule="auto"/>
        <w:ind w:left="360"/>
        <w:rPr>
          <w:rFonts w:ascii="Arial" w:hAnsi="Arial" w:cs="Arial"/>
          <w:sz w:val="20"/>
          <w:szCs w:val="20"/>
        </w:rPr>
      </w:pPr>
    </w:p>
    <w:p w:rsidR="00F65F24" w:rsidRDefault="00F65F24" w:rsidP="002D281F">
      <w:pPr>
        <w:spacing w:line="480" w:lineRule="auto"/>
        <w:ind w:left="360"/>
        <w:rPr>
          <w:rFonts w:ascii="Arial" w:hAnsi="Arial" w:cs="Arial"/>
          <w:sz w:val="20"/>
          <w:szCs w:val="20"/>
        </w:rPr>
      </w:pPr>
      <w:r>
        <w:rPr>
          <w:rFonts w:ascii="Arial" w:hAnsi="Arial" w:cs="Arial"/>
          <w:sz w:val="20"/>
          <w:szCs w:val="20"/>
        </w:rPr>
        <w:t>Question 4</w:t>
      </w:r>
    </w:p>
    <w:p w:rsidR="00F45D48" w:rsidRDefault="00F45D48" w:rsidP="002D281F">
      <w:pPr>
        <w:spacing w:line="480" w:lineRule="auto"/>
        <w:ind w:left="360"/>
        <w:rPr>
          <w:rFonts w:ascii="Arial" w:hAnsi="Arial" w:cs="Arial"/>
          <w:sz w:val="20"/>
          <w:szCs w:val="20"/>
        </w:rPr>
      </w:pPr>
      <w:r w:rsidRPr="00F45D48">
        <w:rPr>
          <w:rFonts w:ascii="Arial" w:hAnsi="Arial" w:cs="Arial"/>
          <w:sz w:val="20"/>
          <w:szCs w:val="20"/>
        </w:rPr>
        <w:t>a.</w:t>
      </w:r>
      <w:r w:rsidRPr="00F45D48">
        <w:rPr>
          <w:rFonts w:ascii="Arial" w:hAnsi="Arial" w:cs="Arial"/>
          <w:sz w:val="20"/>
          <w:szCs w:val="20"/>
        </w:rPr>
        <w:tab/>
        <w:t>Définir brièvement ce qu’est un indice des prix à la consommation (IPC) et donnez son utilité</w:t>
      </w:r>
      <w:bookmarkStart w:id="0" w:name="_GoBack"/>
      <w:bookmarkEnd w:id="0"/>
    </w:p>
    <w:p w:rsidR="002D681A" w:rsidRDefault="002D681A" w:rsidP="002D281F">
      <w:pPr>
        <w:spacing w:line="480" w:lineRule="auto"/>
        <w:ind w:left="360"/>
        <w:rPr>
          <w:rFonts w:ascii="Arial" w:hAnsi="Arial" w:cs="Arial"/>
          <w:sz w:val="20"/>
          <w:szCs w:val="20"/>
        </w:rPr>
      </w:pPr>
      <w:r>
        <w:rPr>
          <w:rFonts w:ascii="Arial" w:hAnsi="Arial" w:cs="Arial"/>
          <w:sz w:val="20"/>
          <w:szCs w:val="20"/>
        </w:rPr>
        <w:t>Indice des prix à la consommation</w:t>
      </w:r>
      <w:r w:rsidR="00A12420">
        <w:rPr>
          <w:rFonts w:ascii="Arial" w:hAnsi="Arial" w:cs="Arial"/>
          <w:sz w:val="20"/>
          <w:szCs w:val="20"/>
        </w:rPr>
        <w:t xml:space="preserve"> (IPC)</w:t>
      </w:r>
    </w:p>
    <w:p w:rsidR="00A12420" w:rsidRDefault="00A12420" w:rsidP="009427E8">
      <w:pPr>
        <w:spacing w:line="480" w:lineRule="auto"/>
        <w:ind w:left="360"/>
        <w:rPr>
          <w:rFonts w:ascii="Arial" w:hAnsi="Arial" w:cs="Arial"/>
          <w:sz w:val="20"/>
          <w:szCs w:val="20"/>
        </w:rPr>
      </w:pPr>
      <w:r>
        <w:rPr>
          <w:rFonts w:ascii="Arial" w:hAnsi="Arial" w:cs="Arial"/>
          <w:sz w:val="20"/>
          <w:szCs w:val="20"/>
        </w:rPr>
        <w:t>Il mesure l’évolution du niveau moyen des prix d’un panier fixe de biens et services consommés par un ménage type au cours d’une période donnée. Il est calculé tous les mois afin de comparer le cout actuel du panier de l’IPC a ce qu’il coutait lors d’une autre période</w:t>
      </w:r>
      <w:r w:rsidR="009427E8">
        <w:rPr>
          <w:rFonts w:ascii="Arial" w:hAnsi="Arial" w:cs="Arial"/>
          <w:sz w:val="20"/>
          <w:szCs w:val="20"/>
        </w:rPr>
        <w:t>.</w:t>
      </w:r>
    </w:p>
    <w:p w:rsidR="009427E8" w:rsidRPr="007F4719" w:rsidRDefault="009427E8" w:rsidP="009427E8">
      <w:pPr>
        <w:spacing w:line="480" w:lineRule="auto"/>
        <w:ind w:left="360"/>
        <w:rPr>
          <w:rFonts w:ascii="Arial" w:hAnsi="Arial" w:cs="Arial"/>
          <w:sz w:val="20"/>
          <w:szCs w:val="20"/>
        </w:rPr>
      </w:pPr>
      <w:r>
        <w:rPr>
          <w:rFonts w:ascii="Arial" w:hAnsi="Arial" w:cs="Arial"/>
          <w:sz w:val="20"/>
          <w:szCs w:val="20"/>
        </w:rPr>
        <w:t>Source : Manuel « Initiation à l’économie, 3</w:t>
      </w:r>
      <w:r w:rsidRPr="009427E8">
        <w:rPr>
          <w:rFonts w:ascii="Arial" w:hAnsi="Arial" w:cs="Arial"/>
          <w:sz w:val="20"/>
          <w:szCs w:val="20"/>
          <w:vertAlign w:val="superscript"/>
        </w:rPr>
        <w:t>e</w:t>
      </w:r>
      <w:r>
        <w:rPr>
          <w:rFonts w:ascii="Arial" w:hAnsi="Arial" w:cs="Arial"/>
          <w:sz w:val="20"/>
          <w:szCs w:val="20"/>
        </w:rPr>
        <w:t xml:space="preserve"> Edition »</w:t>
      </w:r>
    </w:p>
    <w:p w:rsidR="003516F2" w:rsidRPr="00EA15C0" w:rsidRDefault="003516F2" w:rsidP="003516F2">
      <w:pPr>
        <w:spacing w:line="480" w:lineRule="auto"/>
        <w:rPr>
          <w:rFonts w:ascii="Arial" w:hAnsi="Arial" w:cs="Arial"/>
          <w:sz w:val="20"/>
          <w:szCs w:val="20"/>
        </w:rPr>
      </w:pPr>
    </w:p>
    <w:bookmarkStart w:id="1" w:name="_MON_1541140547"/>
    <w:bookmarkEnd w:id="1"/>
    <w:p w:rsidR="003516F2" w:rsidRPr="00EA15C0" w:rsidRDefault="003370D2" w:rsidP="003516F2">
      <w:pPr>
        <w:spacing w:line="480" w:lineRule="auto"/>
        <w:rPr>
          <w:rFonts w:ascii="Arial" w:hAnsi="Arial" w:cs="Arial"/>
          <w:sz w:val="20"/>
          <w:szCs w:val="20"/>
        </w:rPr>
      </w:pPr>
      <w:r>
        <w:rPr>
          <w:rFonts w:ascii="Arial" w:hAnsi="Arial" w:cs="Arial"/>
          <w:sz w:val="20"/>
          <w:szCs w:val="20"/>
        </w:rPr>
        <w:object w:dxaOrig="8640" w:dyaOrig="1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52.5pt" o:ole="">
            <v:imagedata r:id="rId8" o:title=""/>
          </v:shape>
          <o:OLEObject Type="Embed" ProgID="Word.Document.12" ShapeID="_x0000_i1025" DrawAspect="Content" ObjectID="_1542126056" r:id="rId9">
            <o:FieldCodes>\s</o:FieldCodes>
          </o:OLEObject>
        </w:object>
      </w:r>
    </w:p>
    <w:sectPr w:rsidR="003516F2" w:rsidRPr="00EA15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79C"/>
    <w:multiLevelType w:val="hybridMultilevel"/>
    <w:tmpl w:val="9B00BC30"/>
    <w:lvl w:ilvl="0" w:tplc="34948108">
      <w:start w:val="1"/>
      <w:numFmt w:val="upp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E1070B5"/>
    <w:multiLevelType w:val="hybridMultilevel"/>
    <w:tmpl w:val="4BF0C062"/>
    <w:lvl w:ilvl="0" w:tplc="E4427C5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DB2F14"/>
    <w:multiLevelType w:val="hybridMultilevel"/>
    <w:tmpl w:val="BC28FB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45065B8"/>
    <w:multiLevelType w:val="hybridMultilevel"/>
    <w:tmpl w:val="EC7AC4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F2"/>
    <w:rsid w:val="000003F2"/>
    <w:rsid w:val="000013EE"/>
    <w:rsid w:val="00005F5A"/>
    <w:rsid w:val="00011D66"/>
    <w:rsid w:val="000352E6"/>
    <w:rsid w:val="000437DF"/>
    <w:rsid w:val="000740FC"/>
    <w:rsid w:val="00077219"/>
    <w:rsid w:val="00081547"/>
    <w:rsid w:val="000A0A4D"/>
    <w:rsid w:val="000A317D"/>
    <w:rsid w:val="000A498B"/>
    <w:rsid w:val="000C1DF8"/>
    <w:rsid w:val="000D3070"/>
    <w:rsid w:val="000F3CF8"/>
    <w:rsid w:val="000F7514"/>
    <w:rsid w:val="00100607"/>
    <w:rsid w:val="00133058"/>
    <w:rsid w:val="00141DD9"/>
    <w:rsid w:val="00155A1E"/>
    <w:rsid w:val="00160331"/>
    <w:rsid w:val="00183756"/>
    <w:rsid w:val="001F6329"/>
    <w:rsid w:val="00222716"/>
    <w:rsid w:val="00227044"/>
    <w:rsid w:val="002333E6"/>
    <w:rsid w:val="002C3193"/>
    <w:rsid w:val="002C78B8"/>
    <w:rsid w:val="002D281F"/>
    <w:rsid w:val="002D681A"/>
    <w:rsid w:val="00331049"/>
    <w:rsid w:val="003370D2"/>
    <w:rsid w:val="003516F2"/>
    <w:rsid w:val="00362AE3"/>
    <w:rsid w:val="003669BC"/>
    <w:rsid w:val="00367C37"/>
    <w:rsid w:val="003D3EB7"/>
    <w:rsid w:val="00462A99"/>
    <w:rsid w:val="00485221"/>
    <w:rsid w:val="00490A68"/>
    <w:rsid w:val="00507FEF"/>
    <w:rsid w:val="005212C3"/>
    <w:rsid w:val="005A7B61"/>
    <w:rsid w:val="005B6736"/>
    <w:rsid w:val="005C0529"/>
    <w:rsid w:val="005D6304"/>
    <w:rsid w:val="005E7A75"/>
    <w:rsid w:val="00607AE1"/>
    <w:rsid w:val="0061023E"/>
    <w:rsid w:val="0061769E"/>
    <w:rsid w:val="00663D03"/>
    <w:rsid w:val="006B457B"/>
    <w:rsid w:val="006B7EEC"/>
    <w:rsid w:val="006E7805"/>
    <w:rsid w:val="006F644A"/>
    <w:rsid w:val="00730E31"/>
    <w:rsid w:val="007600DE"/>
    <w:rsid w:val="00761788"/>
    <w:rsid w:val="00763985"/>
    <w:rsid w:val="007800FA"/>
    <w:rsid w:val="00786065"/>
    <w:rsid w:val="00796F40"/>
    <w:rsid w:val="007A207C"/>
    <w:rsid w:val="007F4719"/>
    <w:rsid w:val="008045E9"/>
    <w:rsid w:val="0089421D"/>
    <w:rsid w:val="008A52BA"/>
    <w:rsid w:val="008A6EC3"/>
    <w:rsid w:val="008B73B4"/>
    <w:rsid w:val="008D4D67"/>
    <w:rsid w:val="0090045B"/>
    <w:rsid w:val="00904B2B"/>
    <w:rsid w:val="009222D2"/>
    <w:rsid w:val="009427E8"/>
    <w:rsid w:val="009454B3"/>
    <w:rsid w:val="00954FA4"/>
    <w:rsid w:val="00976A1C"/>
    <w:rsid w:val="009D2212"/>
    <w:rsid w:val="009E2C7D"/>
    <w:rsid w:val="009E6D17"/>
    <w:rsid w:val="009F6500"/>
    <w:rsid w:val="00A12420"/>
    <w:rsid w:val="00A24EDA"/>
    <w:rsid w:val="00A44DF2"/>
    <w:rsid w:val="00A4670F"/>
    <w:rsid w:val="00A55C01"/>
    <w:rsid w:val="00A60E74"/>
    <w:rsid w:val="00AD7391"/>
    <w:rsid w:val="00B04482"/>
    <w:rsid w:val="00B13BCD"/>
    <w:rsid w:val="00B14754"/>
    <w:rsid w:val="00B20434"/>
    <w:rsid w:val="00B25AC4"/>
    <w:rsid w:val="00B26720"/>
    <w:rsid w:val="00B35D0B"/>
    <w:rsid w:val="00B367D3"/>
    <w:rsid w:val="00B42FE5"/>
    <w:rsid w:val="00B45A38"/>
    <w:rsid w:val="00B64529"/>
    <w:rsid w:val="00B87CF2"/>
    <w:rsid w:val="00B94795"/>
    <w:rsid w:val="00BB0183"/>
    <w:rsid w:val="00BB43A7"/>
    <w:rsid w:val="00BD4F62"/>
    <w:rsid w:val="00BD5D53"/>
    <w:rsid w:val="00BE1CD6"/>
    <w:rsid w:val="00BE2882"/>
    <w:rsid w:val="00C27F5E"/>
    <w:rsid w:val="00C31D13"/>
    <w:rsid w:val="00C45B6E"/>
    <w:rsid w:val="00C46D68"/>
    <w:rsid w:val="00C52B62"/>
    <w:rsid w:val="00C571BA"/>
    <w:rsid w:val="00C904BE"/>
    <w:rsid w:val="00CB7330"/>
    <w:rsid w:val="00D13DDC"/>
    <w:rsid w:val="00D34D76"/>
    <w:rsid w:val="00D40B57"/>
    <w:rsid w:val="00D45A54"/>
    <w:rsid w:val="00D52B3C"/>
    <w:rsid w:val="00D66E29"/>
    <w:rsid w:val="00D82C28"/>
    <w:rsid w:val="00DA233A"/>
    <w:rsid w:val="00DC58DE"/>
    <w:rsid w:val="00DE2669"/>
    <w:rsid w:val="00DF250B"/>
    <w:rsid w:val="00E02FE5"/>
    <w:rsid w:val="00E11815"/>
    <w:rsid w:val="00E15FF8"/>
    <w:rsid w:val="00E4174E"/>
    <w:rsid w:val="00E45E77"/>
    <w:rsid w:val="00E85E1D"/>
    <w:rsid w:val="00EA15C0"/>
    <w:rsid w:val="00EA3EB7"/>
    <w:rsid w:val="00EA45F9"/>
    <w:rsid w:val="00EC5D25"/>
    <w:rsid w:val="00ED0D13"/>
    <w:rsid w:val="00ED2911"/>
    <w:rsid w:val="00EE74F0"/>
    <w:rsid w:val="00EF30C1"/>
    <w:rsid w:val="00F00B96"/>
    <w:rsid w:val="00F15DCC"/>
    <w:rsid w:val="00F45D48"/>
    <w:rsid w:val="00F65F24"/>
    <w:rsid w:val="00F77A5F"/>
    <w:rsid w:val="00F9544A"/>
    <w:rsid w:val="00FD20D3"/>
    <w:rsid w:val="00FF1269"/>
    <w:rsid w:val="00FF75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2795"/>
  <w15:chartTrackingRefBased/>
  <w15:docId w15:val="{63B9C999-873C-4BE1-8D0C-D3EB969B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434"/>
    <w:pPr>
      <w:ind w:left="720"/>
      <w:contextualSpacing/>
    </w:pPr>
  </w:style>
  <w:style w:type="character" w:styleId="Marquedecommentaire">
    <w:name w:val="annotation reference"/>
    <w:basedOn w:val="Policepardfaut"/>
    <w:uiPriority w:val="99"/>
    <w:semiHidden/>
    <w:unhideWhenUsed/>
    <w:rsid w:val="008A52BA"/>
    <w:rPr>
      <w:sz w:val="16"/>
      <w:szCs w:val="16"/>
    </w:rPr>
  </w:style>
  <w:style w:type="paragraph" w:styleId="Commentaire">
    <w:name w:val="annotation text"/>
    <w:basedOn w:val="Normal"/>
    <w:link w:val="CommentaireCar"/>
    <w:uiPriority w:val="99"/>
    <w:semiHidden/>
    <w:unhideWhenUsed/>
    <w:rsid w:val="008A52BA"/>
    <w:pPr>
      <w:spacing w:line="240" w:lineRule="auto"/>
    </w:pPr>
    <w:rPr>
      <w:sz w:val="20"/>
      <w:szCs w:val="20"/>
    </w:rPr>
  </w:style>
  <w:style w:type="character" w:customStyle="1" w:styleId="CommentaireCar">
    <w:name w:val="Commentaire Car"/>
    <w:basedOn w:val="Policepardfaut"/>
    <w:link w:val="Commentaire"/>
    <w:uiPriority w:val="99"/>
    <w:semiHidden/>
    <w:rsid w:val="008A52BA"/>
    <w:rPr>
      <w:sz w:val="20"/>
      <w:szCs w:val="20"/>
    </w:rPr>
  </w:style>
  <w:style w:type="paragraph" w:styleId="Objetducommentaire">
    <w:name w:val="annotation subject"/>
    <w:basedOn w:val="Commentaire"/>
    <w:next w:val="Commentaire"/>
    <w:link w:val="ObjetducommentaireCar"/>
    <w:uiPriority w:val="99"/>
    <w:semiHidden/>
    <w:unhideWhenUsed/>
    <w:rsid w:val="008A52BA"/>
    <w:rPr>
      <w:b/>
      <w:bCs/>
    </w:rPr>
  </w:style>
  <w:style w:type="character" w:customStyle="1" w:styleId="ObjetducommentaireCar">
    <w:name w:val="Objet du commentaire Car"/>
    <w:basedOn w:val="CommentaireCar"/>
    <w:link w:val="Objetducommentaire"/>
    <w:uiPriority w:val="99"/>
    <w:semiHidden/>
    <w:rsid w:val="008A52BA"/>
    <w:rPr>
      <w:b/>
      <w:bCs/>
      <w:sz w:val="20"/>
      <w:szCs w:val="20"/>
    </w:rPr>
  </w:style>
  <w:style w:type="paragraph" w:styleId="Textedebulles">
    <w:name w:val="Balloon Text"/>
    <w:basedOn w:val="Normal"/>
    <w:link w:val="TextedebullesCar"/>
    <w:uiPriority w:val="99"/>
    <w:semiHidden/>
    <w:unhideWhenUsed/>
    <w:rsid w:val="008A52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52BA"/>
    <w:rPr>
      <w:rFonts w:ascii="Segoe UI" w:hAnsi="Segoe UI" w:cs="Segoe UI"/>
      <w:sz w:val="18"/>
      <w:szCs w:val="18"/>
    </w:rPr>
  </w:style>
  <w:style w:type="character" w:styleId="Lienhypertexte">
    <w:name w:val="Hyperlink"/>
    <w:basedOn w:val="Policepardfaut"/>
    <w:uiPriority w:val="99"/>
    <w:unhideWhenUsed/>
    <w:rsid w:val="00133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anqueducanada.ca/wp-content/uploads/2010/11/taux_chan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en-US" baseline="0"/>
              <a:t> quoi servent vos Impots : Sommaire</a:t>
            </a:r>
            <a:endParaRPr lang="en-US"/>
          </a:p>
        </c:rich>
      </c:tx>
      <c:layout>
        <c:manualLayout>
          <c:xMode val="edge"/>
          <c:yMode val="edge"/>
          <c:x val="0.29526850526063358"/>
          <c:y val="2.491177081170853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Ventes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A8-4031-9249-F856E5D067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A8-4031-9249-F856E5D067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A8-4031-9249-F856E5D067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A8-4031-9249-F856E5D0674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6A8-4031-9249-F856E5D0674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6A8-4031-9249-F856E5D0674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6A8-4031-9249-F856E5D0674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6A8-4031-9249-F856E5D0674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6A8-4031-9249-F856E5D0674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6A8-4031-9249-F856E5D06743}"/>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6A8-4031-9249-F856E5D06743}"/>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6A8-4031-9249-F856E5D06743}"/>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6A8-4031-9249-F856E5D06743}"/>
              </c:ext>
            </c:extLst>
          </c:dPt>
          <c:cat>
            <c:strRef>
              <c:f>Feuil1!$A$2:$A$14</c:f>
              <c:strCache>
                <c:ptCount val="13"/>
                <c:pt idx="0">
                  <c:v>Autres dépenses de fonctionnement</c:v>
                </c:pt>
                <c:pt idx="1">
                  <c:v>Sociétés d'état</c:v>
                </c:pt>
                <c:pt idx="2">
                  <c:v>Frais de la dette publique</c:v>
                </c:pt>
                <c:pt idx="3">
                  <c:v>Aides aux ainés</c:v>
                </c:pt>
                <c:pt idx="4">
                  <c:v>Prestations d'assurance-emploi</c:v>
                </c:pt>
                <c:pt idx="5">
                  <c:v>Prestations pour enfants</c:v>
                </c:pt>
                <c:pt idx="6">
                  <c:v>Transfert canadien en matiere de santé</c:v>
                </c:pt>
                <c:pt idx="7">
                  <c:v>Transfert canadien en matiere de programmes sociaux</c:v>
                </c:pt>
                <c:pt idx="8">
                  <c:v>Autres principaux transferts aux autres administrations</c:v>
                </c:pt>
                <c:pt idx="9">
                  <c:v>Autres subventions et contributions</c:v>
                </c:pt>
                <c:pt idx="10">
                  <c:v>Défense nationale</c:v>
                </c:pt>
                <c:pt idx="11">
                  <c:v>Sécurité publique</c:v>
                </c:pt>
                <c:pt idx="12">
                  <c:v>Agence du revenu du Canada</c:v>
                </c:pt>
              </c:strCache>
            </c:strRef>
          </c:cat>
          <c:val>
            <c:numRef>
              <c:f>Feuil1!$B$2:$B$14</c:f>
              <c:numCache>
                <c:formatCode>0%</c:formatCode>
                <c:ptCount val="13"/>
                <c:pt idx="0">
                  <c:v>0.12</c:v>
                </c:pt>
                <c:pt idx="1">
                  <c:v>0.03</c:v>
                </c:pt>
                <c:pt idx="2">
                  <c:v>0.1</c:v>
                </c:pt>
                <c:pt idx="3">
                  <c:v>0.15</c:v>
                </c:pt>
                <c:pt idx="4">
                  <c:v>0.06</c:v>
                </c:pt>
                <c:pt idx="5">
                  <c:v>0.05</c:v>
                </c:pt>
                <c:pt idx="6">
                  <c:v>0.11</c:v>
                </c:pt>
                <c:pt idx="7">
                  <c:v>0.05</c:v>
                </c:pt>
                <c:pt idx="8">
                  <c:v>0.06</c:v>
                </c:pt>
                <c:pt idx="9">
                  <c:v>0.13</c:v>
                </c:pt>
                <c:pt idx="10">
                  <c:v>0.08</c:v>
                </c:pt>
                <c:pt idx="11">
                  <c:v>0.03</c:v>
                </c:pt>
                <c:pt idx="12">
                  <c:v>0.03</c:v>
                </c:pt>
              </c:numCache>
            </c:numRef>
          </c:val>
          <c:extLst>
            <c:ext xmlns:c16="http://schemas.microsoft.com/office/drawing/2014/chart" uri="{C3380CC4-5D6E-409C-BE32-E72D297353CC}">
              <c16:uniqueId val="{0000001A-06A8-4031-9249-F856E5D0674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Provenance</a:t>
            </a:r>
            <a:r>
              <a:rPr lang="en-US" baseline="0"/>
              <a:t> des revenus sur 1 dollar d'impots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Ventes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1B-4929-800C-6BA49C1C03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1B-4929-800C-6BA49C1C03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1B-4929-800C-6BA49C1C03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1B-4929-800C-6BA49C1C03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F1B-4929-800C-6BA49C1C031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F1B-4929-800C-6BA49C1C0319}"/>
              </c:ext>
            </c:extLst>
          </c:dPt>
          <c:cat>
            <c:strRef>
              <c:f>Feuil1!$A$2:$A$7</c:f>
              <c:strCache>
                <c:ptCount val="6"/>
                <c:pt idx="0">
                  <c:v>Impot sur les revenus des particuliers</c:v>
                </c:pt>
                <c:pt idx="1">
                  <c:v>Cotisations d'assurance-emploi</c:v>
                </c:pt>
                <c:pt idx="2">
                  <c:v>Impot sur les revenus des sociétés</c:v>
                </c:pt>
                <c:pt idx="3">
                  <c:v>Taxes sur les produits et services</c:v>
                </c:pt>
                <c:pt idx="4">
                  <c:v>Bénéfices des sociétés d'état et produit de la vente des biens et services</c:v>
                </c:pt>
                <c:pt idx="5">
                  <c:v>Retenues d'impots des non résidents, droit de douane a l'importation et droit d'accise</c:v>
                </c:pt>
              </c:strCache>
            </c:strRef>
          </c:cat>
          <c:val>
            <c:numRef>
              <c:f>Feuil1!$B$2:$B$7</c:f>
              <c:numCache>
                <c:formatCode>0%</c:formatCode>
                <c:ptCount val="6"/>
                <c:pt idx="0">
                  <c:v>0.48</c:v>
                </c:pt>
                <c:pt idx="1">
                  <c:v>0.08</c:v>
                </c:pt>
                <c:pt idx="2">
                  <c:v>0.14000000000000001</c:v>
                </c:pt>
                <c:pt idx="3">
                  <c:v>0.11</c:v>
                </c:pt>
                <c:pt idx="4">
                  <c:v>0.11</c:v>
                </c:pt>
                <c:pt idx="5">
                  <c:v>0.08</c:v>
                </c:pt>
              </c:numCache>
            </c:numRef>
          </c:val>
          <c:extLst>
            <c:ext xmlns:c16="http://schemas.microsoft.com/office/drawing/2014/chart" uri="{C3380CC4-5D6E-409C-BE32-E72D297353CC}">
              <c16:uniqueId val="{0000000C-CF1B-4929-800C-6BA49C1C031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2690</TotalTime>
  <Pages>11</Pages>
  <Words>1377</Words>
  <Characters>7577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dorian</dc:creator>
  <cp:keywords/>
  <dc:description/>
  <cp:lastModifiedBy>christian dorian</cp:lastModifiedBy>
  <cp:revision>137</cp:revision>
  <dcterms:created xsi:type="dcterms:W3CDTF">2016-11-17T11:27:00Z</dcterms:created>
  <dcterms:modified xsi:type="dcterms:W3CDTF">2016-12-02T00:34:00Z</dcterms:modified>
</cp:coreProperties>
</file>