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Article #2 </w:t>
      </w: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Initiation 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l'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conomie</w:t>
      </w:r>
    </w:p>
    <w:p>
      <w:pPr>
        <w:pStyle w:val="Corps"/>
        <w:rPr>
          <w:sz w:val="24"/>
          <w:szCs w:val="24"/>
        </w:rPr>
      </w:pPr>
    </w:p>
    <w:p>
      <w:pPr>
        <w:pStyle w:val="Corps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John Maynard Keynes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tait un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conomiste de la Grande-Bretagne ( 5 juin 1883 - 21 avril 1946) qui a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velopp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 xml:space="preserve">une vision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conomique tr</w:t>
      </w:r>
      <w:r>
        <w:rPr>
          <w:sz w:val="24"/>
          <w:szCs w:val="24"/>
          <w:rtl w:val="0"/>
          <w:lang w:val="en-US"/>
        </w:rPr>
        <w:t>è</w:t>
      </w:r>
      <w:r>
        <w:rPr>
          <w:sz w:val="24"/>
          <w:szCs w:val="24"/>
          <w:rtl w:val="0"/>
          <w:lang w:val="en-US"/>
        </w:rPr>
        <w:t xml:space="preserve">s fondamentale pour notre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poque.  Tout d'abord, on parle de Keynes et du parle de lui en tant que cr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ateur de son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cole de pens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e : le Keyn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sianisme. Plusieurs autres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conomistes ont par la suite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former sa vision de la macro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conomie keyn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sienne. Ce dernier c'est int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ress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 xml:space="preserve">aux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nigmes mon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taires du monde. </w:t>
      </w:r>
    </w:p>
    <w:p>
      <w:pPr>
        <w:pStyle w:val="Corps"/>
        <w:jc w:val="both"/>
        <w:rPr>
          <w:sz w:val="24"/>
          <w:szCs w:val="24"/>
        </w:rPr>
      </w:pPr>
    </w:p>
    <w:p>
      <w:pPr>
        <w:pStyle w:val="Corps"/>
        <w:jc w:val="both"/>
      </w:pPr>
      <w:r>
        <w:rPr>
          <w:sz w:val="24"/>
          <w:szCs w:val="24"/>
          <w:rtl w:val="0"/>
          <w:lang w:val="en-US"/>
        </w:rPr>
        <w:t xml:space="preserve">En premier lieu, une telle vision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conomique serait pragmatique et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thique et doit rejeter la loi de Say. Selon l'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cole keyn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sienne, il existe une possibilit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de surproduction et de ch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mage "</w:t>
      </w:r>
      <w:r>
        <w:rPr>
          <w:i w:val="1"/>
          <w:iCs w:val="1"/>
          <w:sz w:val="24"/>
          <w:szCs w:val="24"/>
          <w:rtl w:val="0"/>
          <w:lang w:val="en-US"/>
        </w:rPr>
        <w:t>involontaire</w:t>
      </w:r>
      <w:r>
        <w:rPr>
          <w:sz w:val="24"/>
          <w:szCs w:val="24"/>
          <w:rtl w:val="0"/>
          <w:lang w:val="en-US"/>
        </w:rPr>
        <w:t>" d</w:t>
      </w:r>
      <w:r>
        <w:rPr>
          <w:sz w:val="24"/>
          <w:szCs w:val="24"/>
          <w:rtl w:val="0"/>
          <w:lang w:val="en-US"/>
        </w:rPr>
        <w:t xml:space="preserve">û </w:t>
      </w:r>
      <w:r>
        <w:rPr>
          <w:sz w:val="24"/>
          <w:szCs w:val="24"/>
          <w:rtl w:val="0"/>
          <w:lang w:val="en-US"/>
        </w:rPr>
        <w:t>au mouvement industrielle apparut concr</w:t>
      </w:r>
      <w:r>
        <w:rPr>
          <w:sz w:val="24"/>
          <w:szCs w:val="24"/>
          <w:rtl w:val="0"/>
          <w:lang w:val="en-US"/>
        </w:rPr>
        <w:t>è</w:t>
      </w:r>
      <w:r>
        <w:rPr>
          <w:sz w:val="24"/>
          <w:szCs w:val="24"/>
          <w:rtl w:val="0"/>
          <w:lang w:val="en-US"/>
        </w:rPr>
        <w:t>tement  au XXe si</w:t>
      </w:r>
      <w:r>
        <w:rPr>
          <w:sz w:val="24"/>
          <w:szCs w:val="24"/>
          <w:rtl w:val="0"/>
          <w:lang w:val="en-US"/>
        </w:rPr>
        <w:t>è</w:t>
      </w:r>
      <w:r>
        <w:rPr>
          <w:sz w:val="24"/>
          <w:szCs w:val="24"/>
          <w:rtl w:val="0"/>
          <w:lang w:val="en-US"/>
        </w:rPr>
        <w:t xml:space="preserve">cle; cette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conomie industrielle est caract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ris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par un futur ind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termin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et myst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rieux. Afin de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terminer le nombre de personne au ch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mage, on doit premi</w:t>
      </w:r>
      <w:r>
        <w:rPr>
          <w:sz w:val="24"/>
          <w:szCs w:val="24"/>
          <w:rtl w:val="0"/>
          <w:lang w:val="en-US"/>
        </w:rPr>
        <w:t>è</w:t>
      </w:r>
      <w:r>
        <w:rPr>
          <w:sz w:val="24"/>
          <w:szCs w:val="24"/>
          <w:rtl w:val="0"/>
          <w:lang w:val="en-US"/>
        </w:rPr>
        <w:t>rement indiquer la demande en B&amp;S (biens et services) du gouvernement, des consommateurs et des entreprises. De plus, le contr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le par l'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tat sur les sph</w:t>
      </w:r>
      <w:r>
        <w:rPr>
          <w:sz w:val="24"/>
          <w:szCs w:val="24"/>
          <w:rtl w:val="0"/>
          <w:lang w:val="en-US"/>
        </w:rPr>
        <w:t>è</w:t>
      </w:r>
      <w:r>
        <w:rPr>
          <w:sz w:val="24"/>
          <w:szCs w:val="24"/>
          <w:rtl w:val="0"/>
          <w:lang w:val="en-US"/>
        </w:rPr>
        <w:t>res suivantes permettent de baisser drastiquement le taux de ch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mage : la monnaie et le cr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dit, la gestion d'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pargne sur les citoyens et leurs investissements et la diffusion de l'information. La consommation de biens est possible gr</w:t>
      </w:r>
      <w:r>
        <w:rPr>
          <w:sz w:val="24"/>
          <w:szCs w:val="24"/>
          <w:rtl w:val="0"/>
          <w:lang w:val="en-US"/>
        </w:rPr>
        <w:t>â</w:t>
      </w:r>
      <w:r>
        <w:rPr>
          <w:sz w:val="24"/>
          <w:szCs w:val="24"/>
          <w:rtl w:val="0"/>
          <w:lang w:val="en-US"/>
        </w:rPr>
        <w:t xml:space="preserve">ce </w:t>
      </w:r>
      <w:r>
        <w:rPr>
          <w:sz w:val="24"/>
          <w:szCs w:val="24"/>
          <w:rtl w:val="0"/>
          <w:lang w:val="en-US"/>
        </w:rPr>
        <w:t xml:space="preserve">à </w:t>
      </w:r>
      <w:r>
        <w:rPr>
          <w:sz w:val="24"/>
          <w:szCs w:val="24"/>
          <w:rtl w:val="0"/>
          <w:lang w:val="en-US"/>
        </w:rPr>
        <w:t>cette production industrielle, mais on peut maintenant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duire un niveau de production globale par les donn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es sur la demande effictive et agr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g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e. "Une demande agr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g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e  repr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sente l'ensemble des biens et services que les agents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conomiques, [...] souhaitent acqu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rir aux diff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rents niveaux de prix."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  <w:rtl w:val="0"/>
          <w:lang w:val="en-US"/>
        </w:rPr>
        <w:t xml:space="preserve"> Alors qu'une demande effective est par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finition est agglom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ration des anticipations sur les prochaines ventes de tout genres et ce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termine le taux de production 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el. Ceci dit, une telle demande agr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g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es est conditionnelle envers la n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cessit</w:t>
      </w:r>
      <w:r>
        <w:rPr>
          <w:sz w:val="24"/>
          <w:szCs w:val="24"/>
          <w:rtl w:val="0"/>
          <w:lang w:val="en-US"/>
        </w:rPr>
        <w:t xml:space="preserve">é </w:t>
      </w:r>
      <w:r>
        <w:rPr>
          <w:sz w:val="24"/>
          <w:szCs w:val="24"/>
          <w:rtl w:val="0"/>
          <w:lang w:val="en-US"/>
        </w:rPr>
        <w:t>de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penses dans un secteur priv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e que se soit par des entreprises, des m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nages ou des agents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conomiques 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trangers.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  <w:rtl w:val="0"/>
          <w:lang w:val="en-US"/>
        </w:rPr>
        <w:t xml:space="preserve"> On peut aujourd'hui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valuer les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penses par l'effet multiplicateur simple des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penses ou des imp</w:t>
      </w:r>
      <w:r>
        <w:rPr>
          <w:sz w:val="24"/>
          <w:szCs w:val="24"/>
          <w:rtl w:val="0"/>
          <w:lang w:val="en-US"/>
        </w:rPr>
        <w:t>ô</w:t>
      </w:r>
      <w:r>
        <w:rPr>
          <w:sz w:val="24"/>
          <w:szCs w:val="24"/>
          <w:rtl w:val="0"/>
          <w:lang w:val="en-US"/>
        </w:rPr>
        <w:t>ts, o</w:t>
      </w:r>
      <w:r>
        <w:rPr>
          <w:sz w:val="24"/>
          <w:szCs w:val="24"/>
          <w:rtl w:val="0"/>
          <w:lang w:val="en-US"/>
        </w:rPr>
        <w:t xml:space="preserve">ù </w:t>
      </w:r>
      <w:r>
        <w:rPr>
          <w:sz w:val="24"/>
          <w:szCs w:val="24"/>
          <w:rtl w:val="0"/>
          <w:lang w:val="en-US"/>
        </w:rPr>
        <w:t>1/(Pm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) = multiplicateur simple des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penses. Celle-ci peut par contre augmenter et diminuer selon une variation jouant sur les d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penses  des agents.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  <w:rtl w:val="0"/>
          <w:lang w:val="en-US"/>
        </w:rPr>
        <w:t xml:space="preserve"> En d'autres mots, voici l'approche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conomique de John Maynard Keynes et de son 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cole de pens</w:t>
      </w:r>
      <w:r>
        <w:rPr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>e dans plusieurs de ses formes, alors que cette derni</w:t>
      </w:r>
      <w:r>
        <w:rPr>
          <w:sz w:val="24"/>
          <w:szCs w:val="24"/>
          <w:rtl w:val="0"/>
          <w:lang w:val="en-US"/>
        </w:rPr>
        <w:t>è</w:t>
      </w:r>
      <w:r>
        <w:rPr>
          <w:sz w:val="24"/>
          <w:szCs w:val="24"/>
          <w:rtl w:val="0"/>
          <w:lang w:val="en-US"/>
        </w:rPr>
        <w:t>re change au fils du temps avec le changement de notre mode de vie et de notre vision sur l'argent et ses modes de payements.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 xml:space="preserve">glossaire p.280  du manuel scolaire 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>conomie et soci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>t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, </w:t>
      </w:r>
      <w:r>
        <w:rPr>
          <w:rFonts w:cs="Arial Unicode MS" w:eastAsia="Arial Unicode MS" w:hint="default"/>
          <w:rtl w:val="0"/>
          <w:lang w:val="en-US"/>
        </w:rPr>
        <w:t>é</w:t>
      </w:r>
      <w:r>
        <w:rPr>
          <w:rFonts w:cs="Arial Unicode MS" w:eastAsia="Arial Unicode MS"/>
          <w:rtl w:val="0"/>
          <w:lang w:val="en-US"/>
        </w:rPr>
        <w:t>dition Beauchemin</w:t>
      </w:r>
    </w:p>
  </w:footnote>
  <w:footnote w:id="2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  <w:lang w:val="en-US"/>
        </w:rPr>
        <w:t>tir</w:t>
      </w:r>
      <w:r>
        <w:rPr>
          <w:rFonts w:cs="Arial Unicode MS" w:eastAsia="Arial Unicode MS" w:hint="default"/>
          <w:rtl w:val="0"/>
          <w:lang w:val="en-US"/>
        </w:rPr>
        <w:t xml:space="preserve">é </w:t>
      </w:r>
      <w:r>
        <w:rPr>
          <w:rFonts w:cs="Arial Unicode MS" w:eastAsia="Arial Unicode MS"/>
          <w:rtl w:val="0"/>
          <w:lang w:val="en-US"/>
        </w:rPr>
        <w:t xml:space="preserve">du manuel scolaire p. 210 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>conomie et soci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>t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, </w:t>
      </w:r>
      <w:r>
        <w:rPr>
          <w:rFonts w:cs="Arial Unicode MS" w:eastAsia="Arial Unicode MS" w:hint="default"/>
          <w:rtl w:val="0"/>
          <w:lang w:val="en-US"/>
        </w:rPr>
        <w:t>é</w:t>
      </w:r>
      <w:r>
        <w:rPr>
          <w:rFonts w:cs="Arial Unicode MS" w:eastAsia="Arial Unicode MS"/>
          <w:rtl w:val="0"/>
          <w:lang w:val="en-US"/>
        </w:rPr>
        <w:t>dition Beauchemin</w:t>
      </w:r>
    </w:p>
  </w:footnote>
  <w:footnote w:id="3">
    <w:p>
      <w:pPr>
        <w:pStyle w:val="Note de bas de page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tir</w:t>
      </w:r>
      <w:r>
        <w:rPr>
          <w:rFonts w:cs="Arial Unicode MS" w:eastAsia="Arial Unicode MS" w:hint="default"/>
          <w:rtl w:val="0"/>
          <w:lang w:val="en-US"/>
        </w:rPr>
        <w:t xml:space="preserve">é </w:t>
      </w:r>
      <w:r>
        <w:rPr>
          <w:rFonts w:cs="Arial Unicode MS" w:eastAsia="Arial Unicode MS"/>
          <w:rtl w:val="0"/>
          <w:lang w:val="en-US"/>
        </w:rPr>
        <w:t xml:space="preserve">du manuel scolaire p. 4-23-29-106-214-215-216 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>conomie et soci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>t</w:t>
      </w:r>
      <w:r>
        <w:rPr>
          <w:rFonts w:cs="Arial Unicode MS" w:eastAsia="Arial Unicode MS" w:hint="default"/>
          <w:i w:val="1"/>
          <w:iCs w:val="1"/>
          <w:rtl w:val="0"/>
          <w:lang w:val="en-US"/>
        </w:rPr>
        <w:t>é</w:t>
      </w:r>
      <w:r>
        <w:rPr>
          <w:rFonts w:cs="Arial Unicode MS" w:eastAsia="Arial Unicode MS"/>
          <w:i w:val="1"/>
          <w:iCs w:val="1"/>
          <w:rtl w:val="0"/>
          <w:lang w:val="en-US"/>
        </w:rPr>
        <w:t xml:space="preserve">, </w:t>
      </w:r>
      <w:r>
        <w:rPr>
          <w:rFonts w:cs="Arial Unicode MS" w:eastAsia="Arial Unicode MS" w:hint="default"/>
          <w:rtl w:val="0"/>
          <w:lang w:val="en-US"/>
        </w:rPr>
        <w:t>é</w:t>
      </w:r>
      <w:r>
        <w:rPr>
          <w:rFonts w:cs="Arial Unicode MS" w:eastAsia="Arial Unicode MS"/>
          <w:rtl w:val="0"/>
          <w:lang w:val="en-US"/>
        </w:rPr>
        <w:t>dition Beauchemin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