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Luigi Aguilar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4270 Av. Linton.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Montréal (Québec)  H3S 1T6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Téléphone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: (514) 550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1345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1155cc"/>
            <w:sz w:val="22"/>
            <w:szCs w:val="22"/>
            <w:u w:val="single"/>
            <w:rtl w:val="0"/>
          </w:rPr>
          <w:t xml:space="preserve">aguilarluigi@gmail.com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240" w:before="24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Langues parlées et écrites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Français, Anglais</w:t>
      </w:r>
      <w:r w:rsidDel="00000000" w:rsidR="00000000" w:rsidRPr="00000000">
        <w:rPr>
          <w:rtl w:val="0"/>
        </w:rPr>
        <w:t xml:space="preserve"> et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Espagnol.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Compétences particulières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Courtois, communicatif et sociable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Bon sens de l'organisation, de l'initiative et du travail en équipe;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Attentif aux détails;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Énergique, créatif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Patient et empathique.</w:t>
      </w:r>
    </w:p>
    <w:p w:rsidR="00000000" w:rsidDel="00000000" w:rsidP="00000000" w:rsidRDefault="00000000" w:rsidRPr="00000000">
      <w:pPr>
        <w:keepNext w:val="1"/>
        <w:spacing w:after="12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Expérience de travail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870.0" w:type="dxa"/>
        <w:jc w:val="center"/>
        <w:tblInd w:w="-115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80"/>
        <w:gridCol w:w="2325"/>
        <w:gridCol w:w="5265"/>
        <w:tblGridChange w:id="0">
          <w:tblGrid>
            <w:gridCol w:w="2280"/>
            <w:gridCol w:w="2325"/>
            <w:gridCol w:w="5265"/>
          </w:tblGrid>
        </w:tblGridChange>
      </w:tblGrid>
      <w:tr>
        <w:trPr>
          <w:trHeight w:val="2160" w:hRule="atLeast"/>
        </w:trP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2015 - Présent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Agent de service </w:t>
            </w:r>
            <w:r w:rsidDel="00000000" w:rsidR="00000000" w:rsidRPr="00000000">
              <w:rPr>
                <w:color w:val="545454"/>
                <w:highlight w:val="white"/>
                <w:rtl w:val="0"/>
              </w:rPr>
              <w:t xml:space="preserve">à </w:t>
            </w:r>
            <w:r w:rsidDel="00000000" w:rsidR="00000000" w:rsidRPr="00000000">
              <w:rPr>
                <w:rtl w:val="0"/>
              </w:rPr>
              <w:t xml:space="preserve">la clientèle</w:t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Upclick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288" w:hanging="28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Répondre aux appels des clients pour toutes demandes (vente, rétention des clients, facturations, plaintes, paiements,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60" w:before="60" w:line="240" w:lineRule="auto"/>
              <w:ind w:left="288" w:hanging="28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Offrir aux clients un bon service en lui fournissant de l'information sur les plusieurs services offerts.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40" w:before="340" w:line="320" w:lineRule="auto"/>
              <w:ind w:left="288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Déterminer et investiguer - en écoutant le client -  le problème qu’il présente, et trouver par la suite la meilleur démarche pour le résoudre.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40" w:before="340" w:line="320" w:lineRule="auto"/>
              <w:ind w:left="288"/>
              <w:contextualSpacing w:val="1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Maintenir la qualité du service offert dans le respect des standards de qualité prescrits.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pacing w:after="12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Études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840.0" w:type="dxa"/>
        <w:jc w:val="center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40"/>
        <w:gridCol w:w="2445"/>
        <w:gridCol w:w="4155"/>
        <w:tblGridChange w:id="0">
          <w:tblGrid>
            <w:gridCol w:w="3240"/>
            <w:gridCol w:w="2445"/>
            <w:gridCol w:w="415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Sept 2014 - Présent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Collège LaSalle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Montréal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60" w:before="6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DEC Gestion des Commerces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pacing w:after="120" w:before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Loisirs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Lecture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Vélo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="240" w:lineRule="auto"/>
        <w:ind w:left="576" w:hanging="216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Musique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Références sur demande</w:t>
      </w: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720" w:top="720" w:left="1296" w:right="129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40" w:line="240" w:lineRule="auto"/>
      <w:ind w:right="2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576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288" w:firstLine="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12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2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="240" w:lineRule="auto"/>
    </w:pPr>
    <w:rPr>
      <w:rFonts w:ascii="Tahoma" w:cs="Tahoma" w:eastAsia="Tahoma" w:hAnsi="Tahom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29.0" w:type="dxa"/>
        <w:left w:w="0.0" w:type="dxa"/>
        <w:bottom w:w="29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guilarluigi@gmail.com" TargetMode="Externa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