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1E740" w14:textId="76F174E3" w:rsidR="00DD5B57" w:rsidRPr="002500EA" w:rsidRDefault="00BA51A1" w:rsidP="00902A4E">
      <w:pPr>
        <w:spacing w:line="480" w:lineRule="auto"/>
        <w:jc w:val="both"/>
        <w:rPr>
          <w:rFonts w:ascii="Times New Roman" w:hAnsi="Times New Roman" w:cs="Times New Roman"/>
          <w:u w:val="single"/>
          <w:lang w:val="fr-CA"/>
        </w:rPr>
      </w:pPr>
      <w:r w:rsidRPr="002500EA">
        <w:rPr>
          <w:rFonts w:ascii="Times New Roman" w:hAnsi="Times New Roman" w:cs="Times New Roman"/>
          <w:u w:val="single"/>
          <w:lang w:val="fr-CA"/>
        </w:rPr>
        <w:t xml:space="preserve">Anna </w:t>
      </w:r>
      <w:proofErr w:type="spellStart"/>
      <w:r w:rsidRPr="002500EA">
        <w:rPr>
          <w:rFonts w:ascii="Times New Roman" w:hAnsi="Times New Roman" w:cs="Times New Roman"/>
          <w:u w:val="single"/>
          <w:lang w:val="fr-CA"/>
        </w:rPr>
        <w:t>Zoltowski</w:t>
      </w:r>
      <w:proofErr w:type="spellEnd"/>
      <w:r w:rsidRPr="002500EA">
        <w:rPr>
          <w:rFonts w:ascii="Times New Roman" w:hAnsi="Times New Roman" w:cs="Times New Roman"/>
          <w:u w:val="single"/>
          <w:lang w:val="fr-CA"/>
        </w:rPr>
        <w:t xml:space="preserve"> </w:t>
      </w:r>
      <w:r w:rsidRPr="002500EA">
        <w:rPr>
          <w:rFonts w:ascii="Times New Roman" w:hAnsi="Times New Roman" w:cs="Times New Roman"/>
          <w:u w:val="single"/>
          <w:lang w:val="fr-CA"/>
        </w:rPr>
        <w:tab/>
      </w:r>
      <w:r w:rsidRPr="002500EA">
        <w:rPr>
          <w:rFonts w:ascii="Times New Roman" w:hAnsi="Times New Roman" w:cs="Times New Roman"/>
          <w:u w:val="single"/>
          <w:lang w:val="fr-CA"/>
        </w:rPr>
        <w:tab/>
      </w:r>
      <w:r w:rsidRPr="002500EA">
        <w:rPr>
          <w:rFonts w:ascii="Times New Roman" w:hAnsi="Times New Roman" w:cs="Times New Roman"/>
          <w:u w:val="single"/>
          <w:lang w:val="fr-CA"/>
        </w:rPr>
        <w:t>Portfolio # 4</w:t>
      </w:r>
      <w:r w:rsidRPr="002500EA">
        <w:rPr>
          <w:rFonts w:ascii="Times New Roman" w:hAnsi="Times New Roman" w:cs="Times New Roman"/>
          <w:u w:val="single"/>
          <w:lang w:val="fr-CA"/>
        </w:rPr>
        <w:t> pour économie </w:t>
      </w:r>
    </w:p>
    <w:p w14:paraId="5069CC98" w14:textId="77777777" w:rsidR="00BA51A1" w:rsidRPr="002500EA" w:rsidRDefault="00BA51A1" w:rsidP="00902A4E">
      <w:pPr>
        <w:spacing w:line="480" w:lineRule="auto"/>
        <w:jc w:val="both"/>
        <w:rPr>
          <w:rFonts w:ascii="Times New Roman" w:hAnsi="Times New Roman" w:cs="Times New Roman"/>
          <w:u w:val="single"/>
          <w:lang w:val="fr-CA"/>
        </w:rPr>
      </w:pPr>
      <w:r w:rsidRPr="002500EA">
        <w:rPr>
          <w:rFonts w:ascii="Times New Roman" w:hAnsi="Times New Roman" w:cs="Times New Roman"/>
          <w:lang w:val="fr-CA"/>
        </w:rPr>
        <w:t xml:space="preserve">Sujet : </w:t>
      </w:r>
      <w:r w:rsidRPr="002500EA">
        <w:rPr>
          <w:rFonts w:ascii="Times New Roman" w:hAnsi="Times New Roman" w:cs="Times New Roman"/>
          <w:u w:val="single"/>
          <w:lang w:val="fr-CA"/>
        </w:rPr>
        <w:t>Comparaison de 2 pays</w:t>
      </w:r>
      <w:r w:rsidRPr="002500EA">
        <w:rPr>
          <w:rFonts w:ascii="Times New Roman" w:hAnsi="Times New Roman" w:cs="Times New Roman"/>
          <w:lang w:val="fr-CA"/>
        </w:rPr>
        <w:t> :</w:t>
      </w:r>
    </w:p>
    <w:p w14:paraId="05DAB3D8" w14:textId="751C2E41" w:rsidR="00BA51A1" w:rsidRDefault="00BA51A1" w:rsidP="00902A4E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  <w:r w:rsidRPr="002500EA">
        <w:rPr>
          <w:rFonts w:ascii="Times New Roman" w:hAnsi="Times New Roman" w:cs="Times New Roman"/>
          <w:lang w:val="fr-CA"/>
        </w:rPr>
        <w:t xml:space="preserve">Le </w:t>
      </w:r>
      <w:r w:rsidRPr="002500EA">
        <w:rPr>
          <w:rFonts w:ascii="Times New Roman" w:hAnsi="Times New Roman" w:cs="Times New Roman"/>
          <w:lang w:val="fr-CA"/>
        </w:rPr>
        <w:t>présent article vise à présenter brièvement</w:t>
      </w:r>
      <w:r w:rsidR="00392A05" w:rsidRPr="002500EA">
        <w:rPr>
          <w:rFonts w:ascii="Times New Roman" w:hAnsi="Times New Roman" w:cs="Times New Roman"/>
          <w:lang w:val="fr-CA"/>
        </w:rPr>
        <w:t xml:space="preserve">, </w:t>
      </w:r>
      <w:r w:rsidRPr="002500EA">
        <w:rPr>
          <w:rFonts w:ascii="Times New Roman" w:hAnsi="Times New Roman" w:cs="Times New Roman"/>
          <w:lang w:val="fr-CA"/>
        </w:rPr>
        <w:t>le PIB global, le nombre d’habitants, l’indice de Gini, le taux de chômage, ainsi que le taux d’emploi</w:t>
      </w:r>
      <w:r w:rsidR="0051024E">
        <w:rPr>
          <w:rFonts w:ascii="Times New Roman" w:hAnsi="Times New Roman" w:cs="Times New Roman"/>
          <w:lang w:val="fr-CA"/>
        </w:rPr>
        <w:t xml:space="preserve"> de</w:t>
      </w:r>
      <w:r w:rsidRPr="002500EA">
        <w:rPr>
          <w:rFonts w:ascii="Times New Roman" w:hAnsi="Times New Roman" w:cs="Times New Roman"/>
          <w:lang w:val="fr-CA"/>
        </w:rPr>
        <w:t xml:space="preserve"> deux pays</w:t>
      </w:r>
      <w:r w:rsidR="00576BE2">
        <w:rPr>
          <w:rFonts w:ascii="Times New Roman" w:hAnsi="Times New Roman" w:cs="Times New Roman"/>
          <w:lang w:val="fr-CA"/>
        </w:rPr>
        <w:t>. J’</w:t>
      </w:r>
      <w:r w:rsidR="0051024E">
        <w:rPr>
          <w:rFonts w:ascii="Times New Roman" w:hAnsi="Times New Roman" w:cs="Times New Roman"/>
          <w:lang w:val="fr-CA"/>
        </w:rPr>
        <w:t>ai</w:t>
      </w:r>
      <w:r w:rsidR="00576BE2">
        <w:rPr>
          <w:rFonts w:ascii="Times New Roman" w:hAnsi="Times New Roman" w:cs="Times New Roman"/>
          <w:lang w:val="fr-CA"/>
        </w:rPr>
        <w:t xml:space="preserve"> choisi</w:t>
      </w:r>
      <w:r w:rsidR="00D15407">
        <w:rPr>
          <w:rFonts w:ascii="Times New Roman" w:hAnsi="Times New Roman" w:cs="Times New Roman"/>
          <w:lang w:val="fr-CA"/>
        </w:rPr>
        <w:t xml:space="preserve"> de comparer le Canada (statistiques en 2015) et la France (statistiques en 2013).</w:t>
      </w:r>
      <w:r w:rsidR="002413B3">
        <w:rPr>
          <w:rFonts w:ascii="Times New Roman" w:hAnsi="Times New Roman" w:cs="Times New Roman"/>
          <w:lang w:val="fr-CA"/>
        </w:rPr>
        <w:t xml:space="preserve"> Voici les résultats des statistiques que j’ai trouvé</w:t>
      </w:r>
      <w:r w:rsidR="0051024E">
        <w:rPr>
          <w:rFonts w:ascii="Times New Roman" w:hAnsi="Times New Roman" w:cs="Times New Roman"/>
          <w:lang w:val="fr-CA"/>
        </w:rPr>
        <w:t>es</w:t>
      </w:r>
      <w:r w:rsidR="002413B3">
        <w:rPr>
          <w:rFonts w:ascii="Times New Roman" w:hAnsi="Times New Roman" w:cs="Times New Roman"/>
          <w:lang w:val="fr-CA"/>
        </w:rPr>
        <w:t> :</w:t>
      </w:r>
    </w:p>
    <w:p w14:paraId="42C69B49" w14:textId="77777777" w:rsidR="00902A4E" w:rsidRDefault="00902A4E" w:rsidP="00902A4E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</w:p>
    <w:p w14:paraId="6E515F6C" w14:textId="2F0B5821" w:rsidR="00902A4E" w:rsidRPr="002500EA" w:rsidRDefault="008550B4" w:rsidP="00902A4E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  <w:r w:rsidRPr="00902A4E">
        <w:rPr>
          <w:rFonts w:ascii="Times New Roman" w:hAnsi="Times New Roman" w:cs="Times New Roman"/>
          <w:b/>
          <w:lang w:val="fr-CA"/>
        </w:rPr>
        <w:t>Tableau</w:t>
      </w:r>
      <w:r w:rsidR="00902A4E" w:rsidRPr="00902A4E">
        <w:rPr>
          <w:rFonts w:ascii="Times New Roman" w:hAnsi="Times New Roman" w:cs="Times New Roman"/>
          <w:b/>
          <w:lang w:val="fr-CA"/>
        </w:rPr>
        <w:t xml:space="preserve"> sur les statistiques de base du Canada et </w:t>
      </w:r>
      <w:r w:rsidR="00A355D6">
        <w:rPr>
          <w:rFonts w:ascii="Times New Roman" w:hAnsi="Times New Roman" w:cs="Times New Roman"/>
          <w:b/>
          <w:lang w:val="fr-CA"/>
        </w:rPr>
        <w:t xml:space="preserve">de </w:t>
      </w:r>
      <w:r w:rsidR="00902A4E" w:rsidRPr="00902A4E">
        <w:rPr>
          <w:rFonts w:ascii="Times New Roman" w:hAnsi="Times New Roman" w:cs="Times New Roman"/>
          <w:b/>
          <w:lang w:val="fr-CA"/>
        </w:rPr>
        <w:t>la France</w:t>
      </w:r>
      <w:r w:rsidR="00902A4E" w:rsidRPr="00902A4E">
        <w:rPr>
          <w:rFonts w:ascii="Times New Roman" w:hAnsi="Times New Roman" w:cs="Times New Roman"/>
          <w:lang w:val="fr-CA"/>
        </w:rPr>
        <w:t> </w:t>
      </w:r>
      <w:r w:rsidR="00902A4E">
        <w:rPr>
          <w:rFonts w:ascii="Times New Roman" w:hAnsi="Times New Roman" w:cs="Times New Roman"/>
          <w:lang w:val="fr-CA"/>
        </w:rPr>
        <w:t>:</w:t>
      </w:r>
    </w:p>
    <w:tbl>
      <w:tblPr>
        <w:tblStyle w:val="Grilledutableau"/>
        <w:tblW w:w="863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413B3" w14:paraId="0C9C19E6" w14:textId="77777777" w:rsidTr="002413B3">
        <w:tc>
          <w:tcPr>
            <w:tcW w:w="2876" w:type="dxa"/>
          </w:tcPr>
          <w:p w14:paraId="5FDBEC1B" w14:textId="77777777" w:rsidR="002413B3" w:rsidRDefault="002413B3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2877" w:type="dxa"/>
          </w:tcPr>
          <w:p w14:paraId="12FDBEA6" w14:textId="4D2D9089" w:rsidR="002413B3" w:rsidRDefault="002413B3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Canada (2015)</w:t>
            </w:r>
          </w:p>
        </w:tc>
        <w:tc>
          <w:tcPr>
            <w:tcW w:w="2877" w:type="dxa"/>
          </w:tcPr>
          <w:p w14:paraId="2B879CEE" w14:textId="5A887008" w:rsidR="002413B3" w:rsidRDefault="002413B3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France (2013)</w:t>
            </w:r>
          </w:p>
        </w:tc>
      </w:tr>
      <w:tr w:rsidR="002413B3" w14:paraId="6D8B2D3B" w14:textId="77777777" w:rsidTr="002413B3">
        <w:tc>
          <w:tcPr>
            <w:tcW w:w="2876" w:type="dxa"/>
          </w:tcPr>
          <w:p w14:paraId="5B9A5250" w14:textId="6EC03A49" w:rsidR="002413B3" w:rsidRDefault="002413B3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PIB Global</w:t>
            </w:r>
          </w:p>
        </w:tc>
        <w:tc>
          <w:tcPr>
            <w:tcW w:w="2877" w:type="dxa"/>
          </w:tcPr>
          <w:p w14:paraId="4A54A506" w14:textId="1EB7C225" w:rsidR="002413B3" w:rsidRDefault="00576BE2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1555,3 milliard</w:t>
            </w:r>
          </w:p>
        </w:tc>
        <w:tc>
          <w:tcPr>
            <w:tcW w:w="2877" w:type="dxa"/>
          </w:tcPr>
          <w:p w14:paraId="2C4BA87A" w14:textId="0A9FCCB4" w:rsidR="002413B3" w:rsidRDefault="00576BE2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2808,2 milliard</w:t>
            </w:r>
          </w:p>
        </w:tc>
      </w:tr>
      <w:tr w:rsidR="002413B3" w14:paraId="3C912131" w14:textId="77777777" w:rsidTr="002413B3">
        <w:tc>
          <w:tcPr>
            <w:tcW w:w="2876" w:type="dxa"/>
          </w:tcPr>
          <w:p w14:paraId="0F531344" w14:textId="0501A5B8" w:rsidR="002413B3" w:rsidRDefault="002413B3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Nombre d’habitants</w:t>
            </w:r>
          </w:p>
        </w:tc>
        <w:tc>
          <w:tcPr>
            <w:tcW w:w="2877" w:type="dxa"/>
          </w:tcPr>
          <w:p w14:paraId="0116E1A9" w14:textId="0335B9DE" w:rsidR="002413B3" w:rsidRDefault="00576BE2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36,1 millions </w:t>
            </w:r>
          </w:p>
        </w:tc>
        <w:tc>
          <w:tcPr>
            <w:tcW w:w="2877" w:type="dxa"/>
          </w:tcPr>
          <w:p w14:paraId="65DBCE95" w14:textId="00DEECF9" w:rsidR="002413B3" w:rsidRDefault="00576BE2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64,0 millions</w:t>
            </w:r>
          </w:p>
        </w:tc>
      </w:tr>
      <w:tr w:rsidR="002413B3" w14:paraId="37F55D19" w14:textId="77777777" w:rsidTr="002413B3">
        <w:tc>
          <w:tcPr>
            <w:tcW w:w="2876" w:type="dxa"/>
          </w:tcPr>
          <w:p w14:paraId="26B32BCB" w14:textId="2B3F3D77" w:rsidR="002413B3" w:rsidRDefault="002413B3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Indice de Gini</w:t>
            </w:r>
          </w:p>
        </w:tc>
        <w:tc>
          <w:tcPr>
            <w:tcW w:w="2877" w:type="dxa"/>
          </w:tcPr>
          <w:p w14:paraId="42A3E02A" w14:textId="03C53CE3" w:rsidR="002413B3" w:rsidRDefault="00576BE2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0,315 </w:t>
            </w:r>
          </w:p>
        </w:tc>
        <w:tc>
          <w:tcPr>
            <w:tcW w:w="2877" w:type="dxa"/>
          </w:tcPr>
          <w:p w14:paraId="23DB87CC" w14:textId="40BD7807" w:rsidR="002413B3" w:rsidRDefault="00576BE2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0,309</w:t>
            </w:r>
          </w:p>
        </w:tc>
      </w:tr>
      <w:tr w:rsidR="002413B3" w14:paraId="43B3F1C8" w14:textId="77777777" w:rsidTr="002413B3">
        <w:tc>
          <w:tcPr>
            <w:tcW w:w="2876" w:type="dxa"/>
          </w:tcPr>
          <w:p w14:paraId="5B016691" w14:textId="10A910D5" w:rsidR="002413B3" w:rsidRDefault="002413B3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Taux de chômage</w:t>
            </w:r>
          </w:p>
        </w:tc>
        <w:tc>
          <w:tcPr>
            <w:tcW w:w="2877" w:type="dxa"/>
          </w:tcPr>
          <w:p w14:paraId="5FC8A463" w14:textId="3FB27AC9" w:rsidR="002413B3" w:rsidRDefault="00576BE2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6,9 %</w:t>
            </w:r>
          </w:p>
        </w:tc>
        <w:tc>
          <w:tcPr>
            <w:tcW w:w="2877" w:type="dxa"/>
          </w:tcPr>
          <w:p w14:paraId="2F575065" w14:textId="28324712" w:rsidR="002413B3" w:rsidRDefault="00576BE2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9,9 %</w:t>
            </w:r>
          </w:p>
        </w:tc>
      </w:tr>
      <w:tr w:rsidR="002413B3" w14:paraId="2E10EB00" w14:textId="77777777" w:rsidTr="004F7027">
        <w:trPr>
          <w:trHeight w:val="535"/>
        </w:trPr>
        <w:tc>
          <w:tcPr>
            <w:tcW w:w="2876" w:type="dxa"/>
          </w:tcPr>
          <w:p w14:paraId="694F5D3F" w14:textId="3E3768E7" w:rsidR="002413B3" w:rsidRDefault="002413B3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Taux d’emploi</w:t>
            </w:r>
          </w:p>
        </w:tc>
        <w:tc>
          <w:tcPr>
            <w:tcW w:w="2877" w:type="dxa"/>
          </w:tcPr>
          <w:p w14:paraId="24B920B1" w14:textId="6140BE0E" w:rsidR="002413B3" w:rsidRDefault="00576BE2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72,5 </w:t>
            </w:r>
            <w:r w:rsidR="00A355D6">
              <w:rPr>
                <w:rFonts w:ascii="Times New Roman" w:hAnsi="Times New Roman" w:cs="Times New Roman"/>
                <w:lang w:val="fr-CA"/>
              </w:rPr>
              <w:t>%</w:t>
            </w:r>
          </w:p>
        </w:tc>
        <w:tc>
          <w:tcPr>
            <w:tcW w:w="2877" w:type="dxa"/>
          </w:tcPr>
          <w:p w14:paraId="6D27E1DE" w14:textId="38190EC1" w:rsidR="002413B3" w:rsidRDefault="00F6142F" w:rsidP="00902A4E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6</w:t>
            </w:r>
            <w:r w:rsidR="00576BE2">
              <w:rPr>
                <w:rFonts w:ascii="Times New Roman" w:hAnsi="Times New Roman" w:cs="Times New Roman"/>
                <w:lang w:val="fr-CA"/>
              </w:rPr>
              <w:t>4,2</w:t>
            </w:r>
            <w:r w:rsidR="00A355D6">
              <w:rPr>
                <w:rFonts w:ascii="Times New Roman" w:hAnsi="Times New Roman" w:cs="Times New Roman"/>
                <w:lang w:val="fr-CA"/>
              </w:rPr>
              <w:t xml:space="preserve"> %</w:t>
            </w:r>
          </w:p>
        </w:tc>
      </w:tr>
    </w:tbl>
    <w:p w14:paraId="48D91BF4" w14:textId="77777777" w:rsidR="00392A05" w:rsidRDefault="00392A05" w:rsidP="00902A4E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</w:p>
    <w:p w14:paraId="55492C5F" w14:textId="66E05BAB" w:rsidR="0051024E" w:rsidRDefault="004F7027" w:rsidP="004F7027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Dans un premier temps, j’aimerais souligner qu’il s’agit des derni</w:t>
      </w:r>
      <w:bookmarkStart w:id="0" w:name="_GoBack"/>
      <w:bookmarkEnd w:id="0"/>
      <w:r>
        <w:rPr>
          <w:rFonts w:ascii="Times New Roman" w:hAnsi="Times New Roman" w:cs="Times New Roman"/>
          <w:lang w:val="fr-CA"/>
        </w:rPr>
        <w:t>ères statistiques disponibles que j’ai trouvé</w:t>
      </w:r>
      <w:r w:rsidR="00597851">
        <w:rPr>
          <w:rFonts w:ascii="Times New Roman" w:hAnsi="Times New Roman" w:cs="Times New Roman"/>
          <w:lang w:val="fr-CA"/>
        </w:rPr>
        <w:t>es</w:t>
      </w:r>
      <w:r>
        <w:rPr>
          <w:rFonts w:ascii="Times New Roman" w:hAnsi="Times New Roman" w:cs="Times New Roman"/>
          <w:lang w:val="fr-CA"/>
        </w:rPr>
        <w:t xml:space="preserve"> pour chacun de ces deux pays. Ce serait idéal si les statistiques concernant la France </w:t>
      </w:r>
      <w:r w:rsidR="00597851">
        <w:rPr>
          <w:rFonts w:ascii="Times New Roman" w:hAnsi="Times New Roman" w:cs="Times New Roman"/>
          <w:lang w:val="fr-CA"/>
        </w:rPr>
        <w:t>étaient</w:t>
      </w:r>
      <w:r>
        <w:rPr>
          <w:rFonts w:ascii="Times New Roman" w:hAnsi="Times New Roman" w:cs="Times New Roman"/>
          <w:lang w:val="fr-CA"/>
        </w:rPr>
        <w:t xml:space="preserve"> aussi pour l’année 2015, car cela nous aurait permis de pouvoir comparer plus exactement les statistiques des deux pays pour la même année</w:t>
      </w:r>
      <w:r w:rsidR="00597851">
        <w:rPr>
          <w:rFonts w:ascii="Times New Roman" w:hAnsi="Times New Roman" w:cs="Times New Roman"/>
          <w:lang w:val="fr-CA"/>
        </w:rPr>
        <w:t xml:space="preserve"> 2015</w:t>
      </w:r>
      <w:r>
        <w:rPr>
          <w:rFonts w:ascii="Times New Roman" w:hAnsi="Times New Roman" w:cs="Times New Roman"/>
          <w:lang w:val="fr-CA"/>
        </w:rPr>
        <w:t xml:space="preserve">. Dans un deuxième temps, au </w:t>
      </w:r>
      <w:r w:rsidR="0051024E">
        <w:rPr>
          <w:rFonts w:ascii="Times New Roman" w:hAnsi="Times New Roman" w:cs="Times New Roman"/>
          <w:lang w:val="fr-CA"/>
        </w:rPr>
        <w:t>niveau des statistiques du</w:t>
      </w:r>
      <w:r>
        <w:rPr>
          <w:rFonts w:ascii="Times New Roman" w:hAnsi="Times New Roman" w:cs="Times New Roman"/>
          <w:lang w:val="fr-CA"/>
        </w:rPr>
        <w:t xml:space="preserve"> Canada, on remarque que le PIB Global est relativement plus bas que celui de la </w:t>
      </w:r>
      <w:r w:rsidR="0051024E">
        <w:rPr>
          <w:rFonts w:ascii="Times New Roman" w:hAnsi="Times New Roman" w:cs="Times New Roman"/>
          <w:lang w:val="fr-CA"/>
        </w:rPr>
        <w:t>France, ce qui s’explique facilement par le fait que la population en France est presque 2 fois supérieure à celle du Canada</w:t>
      </w:r>
      <w:r>
        <w:rPr>
          <w:rFonts w:ascii="Times New Roman" w:hAnsi="Times New Roman" w:cs="Times New Roman"/>
          <w:lang w:val="fr-CA"/>
        </w:rPr>
        <w:t>. On peut constater</w:t>
      </w:r>
      <w:r w:rsidR="0051024E">
        <w:rPr>
          <w:rFonts w:ascii="Times New Roman" w:hAnsi="Times New Roman" w:cs="Times New Roman"/>
          <w:lang w:val="fr-CA"/>
        </w:rPr>
        <w:t xml:space="preserve"> aussi</w:t>
      </w:r>
      <w:r>
        <w:rPr>
          <w:rFonts w:ascii="Times New Roman" w:hAnsi="Times New Roman" w:cs="Times New Roman"/>
          <w:lang w:val="fr-CA"/>
        </w:rPr>
        <w:t xml:space="preserve"> que l’indice de Gini des deux pays est semblable. </w:t>
      </w:r>
    </w:p>
    <w:p w14:paraId="706D0F92" w14:textId="77777777" w:rsidR="0051024E" w:rsidRDefault="004F7027" w:rsidP="004F7027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lastRenderedPageBreak/>
        <w:t xml:space="preserve">Toutefois, </w:t>
      </w:r>
      <w:r w:rsidR="0051024E">
        <w:rPr>
          <w:rFonts w:ascii="Times New Roman" w:hAnsi="Times New Roman" w:cs="Times New Roman"/>
          <w:lang w:val="fr-CA"/>
        </w:rPr>
        <w:t>on constante que le</w:t>
      </w:r>
      <w:r>
        <w:rPr>
          <w:rFonts w:ascii="Times New Roman" w:hAnsi="Times New Roman" w:cs="Times New Roman"/>
          <w:lang w:val="fr-CA"/>
        </w:rPr>
        <w:t xml:space="preserve"> taux de chômage en France est de 3% supérieur qu’au Canada et que le taux d’em</w:t>
      </w:r>
      <w:r w:rsidR="0051024E">
        <w:rPr>
          <w:rFonts w:ascii="Times New Roman" w:hAnsi="Times New Roman" w:cs="Times New Roman"/>
          <w:lang w:val="fr-CA"/>
        </w:rPr>
        <w:t xml:space="preserve">ploi en France est de plus de 10% inférieur à celui du Canada. </w:t>
      </w:r>
    </w:p>
    <w:p w14:paraId="7CECF88D" w14:textId="22FB4003" w:rsidR="004F7027" w:rsidRDefault="004F7027" w:rsidP="004F7027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  </w:t>
      </w:r>
    </w:p>
    <w:p w14:paraId="2A082858" w14:textId="77777777" w:rsidR="004F7027" w:rsidRPr="002500EA" w:rsidRDefault="004F7027" w:rsidP="004F7027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En regardant les statistiques du tableau qui suit, on peut constater que les différences économiques entre les deux pays sont encore plus substantielles.</w:t>
      </w:r>
    </w:p>
    <w:p w14:paraId="74F20B52" w14:textId="77777777" w:rsidR="00CC10AD" w:rsidRPr="00CC10AD" w:rsidRDefault="00CC10AD" w:rsidP="00902A4E">
      <w:pPr>
        <w:spacing w:line="480" w:lineRule="auto"/>
        <w:jc w:val="both"/>
        <w:rPr>
          <w:rFonts w:ascii="Times New Roman" w:hAnsi="Times New Roman" w:cs="Times New Roman"/>
          <w:b/>
          <w:lang w:val="fr-CA"/>
        </w:rPr>
      </w:pPr>
    </w:p>
    <w:p w14:paraId="2419462A" w14:textId="23B106CC" w:rsidR="00B71A8F" w:rsidRDefault="00B71A8F" w:rsidP="00902A4E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  <w:r w:rsidRPr="00B71A8F">
        <w:rPr>
          <w:rFonts w:ascii="Times New Roman" w:hAnsi="Times New Roman" w:cs="Times New Roman"/>
          <w:b/>
          <w:lang w:val="fr-CA"/>
        </w:rPr>
        <w:t xml:space="preserve">Tableau BONUS </w:t>
      </w:r>
      <w:r w:rsidRPr="00B71A8F">
        <w:rPr>
          <w:rFonts w:ascii="Times New Roman" w:hAnsi="Times New Roman" w:cs="Times New Roman"/>
          <w:b/>
          <w:lang w:val="fr-CA"/>
        </w:rPr>
        <w:t>sur les statistiques de base du Canada et de la France </w:t>
      </w:r>
      <w:r>
        <w:rPr>
          <w:rFonts w:ascii="Times New Roman" w:hAnsi="Times New Roman" w:cs="Times New Roman"/>
          <w:lang w:val="fr-CA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6142F" w14:paraId="75FAEF7E" w14:textId="77777777" w:rsidTr="00BD032A">
        <w:trPr>
          <w:trHeight w:val="577"/>
        </w:trPr>
        <w:tc>
          <w:tcPr>
            <w:tcW w:w="2876" w:type="dxa"/>
          </w:tcPr>
          <w:p w14:paraId="5896868C" w14:textId="77777777" w:rsidR="00F6142F" w:rsidRDefault="00F6142F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2877" w:type="dxa"/>
          </w:tcPr>
          <w:p w14:paraId="21B48613" w14:textId="378DC72D" w:rsidR="00F6142F" w:rsidRDefault="004E4E78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Canada (2015)</w:t>
            </w:r>
          </w:p>
        </w:tc>
        <w:tc>
          <w:tcPr>
            <w:tcW w:w="2877" w:type="dxa"/>
          </w:tcPr>
          <w:p w14:paraId="258838E2" w14:textId="13637AEA" w:rsidR="00F6142F" w:rsidRDefault="004E4E78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France (2013)</w:t>
            </w:r>
          </w:p>
        </w:tc>
      </w:tr>
      <w:tr w:rsidR="00F6142F" w14:paraId="3C906C91" w14:textId="77777777" w:rsidTr="00F6142F">
        <w:tc>
          <w:tcPr>
            <w:tcW w:w="2876" w:type="dxa"/>
          </w:tcPr>
          <w:p w14:paraId="36C2BA39" w14:textId="2C40D430" w:rsidR="00F6142F" w:rsidRDefault="004E4E78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Nombre moyen d’heures travaillés par année</w:t>
            </w:r>
          </w:p>
        </w:tc>
        <w:tc>
          <w:tcPr>
            <w:tcW w:w="2877" w:type="dxa"/>
          </w:tcPr>
          <w:p w14:paraId="676EE383" w14:textId="7C138AB5" w:rsidR="00F6142F" w:rsidRDefault="00B71A8F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1,704 (2014)</w:t>
            </w:r>
          </w:p>
        </w:tc>
        <w:tc>
          <w:tcPr>
            <w:tcW w:w="2877" w:type="dxa"/>
          </w:tcPr>
          <w:p w14:paraId="241B0B62" w14:textId="4902B270" w:rsidR="00F6142F" w:rsidRDefault="00B71A8F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1, 489 (2012)</w:t>
            </w:r>
          </w:p>
        </w:tc>
      </w:tr>
      <w:tr w:rsidR="00F6142F" w14:paraId="762034AF" w14:textId="77777777" w:rsidTr="00F6142F">
        <w:tc>
          <w:tcPr>
            <w:tcW w:w="2876" w:type="dxa"/>
          </w:tcPr>
          <w:p w14:paraId="0BA1D8D6" w14:textId="14BD4482" w:rsidR="00F6142F" w:rsidRDefault="00B71A8F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Revenu disponible médian par ménage</w:t>
            </w:r>
          </w:p>
        </w:tc>
        <w:tc>
          <w:tcPr>
            <w:tcW w:w="2877" w:type="dxa"/>
          </w:tcPr>
          <w:p w14:paraId="1BC3B949" w14:textId="77777777" w:rsidR="00BD032A" w:rsidRDefault="00BD032A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</w:p>
          <w:p w14:paraId="5B083B45" w14:textId="3BF9E15B" w:rsidR="00F6142F" w:rsidRDefault="00B71A8F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27,700 USD</w:t>
            </w:r>
          </w:p>
        </w:tc>
        <w:tc>
          <w:tcPr>
            <w:tcW w:w="2877" w:type="dxa"/>
          </w:tcPr>
          <w:p w14:paraId="482A288E" w14:textId="77777777" w:rsidR="00BD032A" w:rsidRDefault="00BD032A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</w:p>
          <w:p w14:paraId="65D6A260" w14:textId="7C472763" w:rsidR="00F6142F" w:rsidRDefault="00B71A8F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23,300 USD</w:t>
            </w:r>
          </w:p>
        </w:tc>
      </w:tr>
      <w:tr w:rsidR="00F6142F" w14:paraId="0BE7D27C" w14:textId="77777777" w:rsidTr="00B71A8F">
        <w:trPr>
          <w:trHeight w:val="577"/>
        </w:trPr>
        <w:tc>
          <w:tcPr>
            <w:tcW w:w="2876" w:type="dxa"/>
          </w:tcPr>
          <w:p w14:paraId="4C92086C" w14:textId="055B6A18" w:rsidR="00F6142F" w:rsidRDefault="00B71A8F" w:rsidP="004F7027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Taux de chômage des </w:t>
            </w:r>
            <w:r w:rsidR="004F7027">
              <w:rPr>
                <w:rFonts w:ascii="Times New Roman" w:hAnsi="Times New Roman" w:cs="Times New Roman"/>
                <w:lang w:val="fr-CA"/>
              </w:rPr>
              <w:t>jeunes de 15 à 24 ans</w:t>
            </w:r>
          </w:p>
        </w:tc>
        <w:tc>
          <w:tcPr>
            <w:tcW w:w="2877" w:type="dxa"/>
          </w:tcPr>
          <w:p w14:paraId="595E8FE9" w14:textId="77777777" w:rsidR="00BD032A" w:rsidRDefault="00BD032A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</w:p>
          <w:p w14:paraId="1959F1FA" w14:textId="22C73940" w:rsidR="00F6142F" w:rsidRDefault="00B71A8F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24 %</w:t>
            </w:r>
          </w:p>
        </w:tc>
        <w:tc>
          <w:tcPr>
            <w:tcW w:w="2877" w:type="dxa"/>
          </w:tcPr>
          <w:p w14:paraId="76842FC9" w14:textId="77777777" w:rsidR="00BD032A" w:rsidRDefault="00BD032A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</w:p>
          <w:p w14:paraId="2AA4B606" w14:textId="2BEC522D" w:rsidR="00F6142F" w:rsidRDefault="00B71A8F" w:rsidP="00B71A8F">
            <w:pPr>
              <w:spacing w:line="480" w:lineRule="auto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13,2 %</w:t>
            </w:r>
          </w:p>
        </w:tc>
      </w:tr>
      <w:tr w:rsidR="00F6142F" w14:paraId="615304F4" w14:textId="77777777" w:rsidTr="004F7027">
        <w:trPr>
          <w:trHeight w:val="522"/>
        </w:trPr>
        <w:tc>
          <w:tcPr>
            <w:tcW w:w="2876" w:type="dxa"/>
          </w:tcPr>
          <w:p w14:paraId="57828B67" w14:textId="77777777" w:rsidR="00F6142F" w:rsidRDefault="00F6142F" w:rsidP="00902A4E">
            <w:pPr>
              <w:spacing w:line="480" w:lineRule="auto"/>
              <w:jc w:val="both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2877" w:type="dxa"/>
          </w:tcPr>
          <w:p w14:paraId="462ADCA3" w14:textId="77777777" w:rsidR="00F6142F" w:rsidRDefault="00F6142F" w:rsidP="00902A4E">
            <w:pPr>
              <w:spacing w:line="480" w:lineRule="auto"/>
              <w:jc w:val="both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2877" w:type="dxa"/>
          </w:tcPr>
          <w:p w14:paraId="755F3A78" w14:textId="77777777" w:rsidR="00F6142F" w:rsidRDefault="00F6142F" w:rsidP="00902A4E">
            <w:pPr>
              <w:spacing w:line="480" w:lineRule="auto"/>
              <w:jc w:val="both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457D702" w14:textId="77777777" w:rsidR="00F6142F" w:rsidRDefault="00F6142F" w:rsidP="00902A4E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</w:p>
    <w:p w14:paraId="3F50717A" w14:textId="46A49DFC" w:rsidR="00CC10AD" w:rsidRDefault="00CC10AD" w:rsidP="00CC10AD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Au Canada, on travaille beaucoup plus qu’en France. En effet, on travaille</w:t>
      </w:r>
      <w:r w:rsidR="006634E1">
        <w:rPr>
          <w:rFonts w:ascii="Times New Roman" w:hAnsi="Times New Roman" w:cs="Times New Roman"/>
          <w:lang w:val="fr-CA"/>
        </w:rPr>
        <w:t xml:space="preserve"> plus </w:t>
      </w:r>
      <w:proofErr w:type="gramStart"/>
      <w:r w:rsidR="006634E1">
        <w:rPr>
          <w:rFonts w:ascii="Times New Roman" w:hAnsi="Times New Roman" w:cs="Times New Roman"/>
          <w:lang w:val="fr-CA"/>
        </w:rPr>
        <w:t xml:space="preserve">de </w:t>
      </w:r>
      <w:r>
        <w:rPr>
          <w:rFonts w:ascii="Times New Roman" w:hAnsi="Times New Roman" w:cs="Times New Roman"/>
          <w:lang w:val="fr-CA"/>
        </w:rPr>
        <w:t xml:space="preserve"> 200</w:t>
      </w:r>
      <w:proofErr w:type="gramEnd"/>
      <w:r>
        <w:rPr>
          <w:rFonts w:ascii="Times New Roman" w:hAnsi="Times New Roman" w:cs="Times New Roman"/>
          <w:lang w:val="fr-CA"/>
        </w:rPr>
        <w:t xml:space="preserve"> heures de plus qu’en France. Le revenu médian est donc plus haut au Canada.</w:t>
      </w:r>
    </w:p>
    <w:p w14:paraId="7F6420EF" w14:textId="77777777" w:rsidR="00CC10AD" w:rsidRDefault="00CC10AD" w:rsidP="00902A4E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</w:p>
    <w:p w14:paraId="1DE676B3" w14:textId="702588CE" w:rsidR="0024561E" w:rsidRDefault="00B62F4D" w:rsidP="00902A4E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À choisir entre habiter en France ou au </w:t>
      </w:r>
      <w:r w:rsidR="00832C51">
        <w:rPr>
          <w:rFonts w:ascii="Times New Roman" w:hAnsi="Times New Roman" w:cs="Times New Roman"/>
          <w:lang w:val="fr-CA"/>
        </w:rPr>
        <w:t>Canada,</w:t>
      </w:r>
      <w:r w:rsidR="00CC10AD">
        <w:rPr>
          <w:rFonts w:ascii="Times New Roman" w:hAnsi="Times New Roman" w:cs="Times New Roman"/>
          <w:lang w:val="fr-CA"/>
        </w:rPr>
        <w:t xml:space="preserve"> je choisi le Can</w:t>
      </w:r>
      <w:r w:rsidR="007515E9">
        <w:rPr>
          <w:rFonts w:ascii="Times New Roman" w:hAnsi="Times New Roman" w:cs="Times New Roman"/>
          <w:lang w:val="fr-CA"/>
        </w:rPr>
        <w:t>a</w:t>
      </w:r>
      <w:r w:rsidR="00CC10AD">
        <w:rPr>
          <w:rFonts w:ascii="Times New Roman" w:hAnsi="Times New Roman" w:cs="Times New Roman"/>
          <w:lang w:val="fr-CA"/>
        </w:rPr>
        <w:t>da,</w:t>
      </w:r>
      <w:r w:rsidR="00832C51">
        <w:rPr>
          <w:rFonts w:ascii="Times New Roman" w:hAnsi="Times New Roman" w:cs="Times New Roman"/>
          <w:lang w:val="fr-CA"/>
        </w:rPr>
        <w:t xml:space="preserve"> car le revenu médian est supérieur et parce que les chances qu’une personne comme moi, qui est dans la catégorie des moins de 24 ans,</w:t>
      </w:r>
      <w:r w:rsidR="006634E1">
        <w:rPr>
          <w:rFonts w:ascii="Times New Roman" w:hAnsi="Times New Roman" w:cs="Times New Roman"/>
          <w:lang w:val="fr-CA"/>
        </w:rPr>
        <w:t xml:space="preserve"> se trouve</w:t>
      </w:r>
      <w:r w:rsidR="00832C51">
        <w:rPr>
          <w:rFonts w:ascii="Times New Roman" w:hAnsi="Times New Roman" w:cs="Times New Roman"/>
          <w:lang w:val="fr-CA"/>
        </w:rPr>
        <w:t xml:space="preserve"> un emploi sont meilleur</w:t>
      </w:r>
      <w:r w:rsidR="009214BF">
        <w:rPr>
          <w:rFonts w:ascii="Times New Roman" w:hAnsi="Times New Roman" w:cs="Times New Roman"/>
          <w:lang w:val="fr-CA"/>
        </w:rPr>
        <w:t>e</w:t>
      </w:r>
      <w:r w:rsidR="00832C51">
        <w:rPr>
          <w:rFonts w:ascii="Times New Roman" w:hAnsi="Times New Roman" w:cs="Times New Roman"/>
          <w:lang w:val="fr-CA"/>
        </w:rPr>
        <w:t>s au Canada qu’en France.</w:t>
      </w:r>
      <w:r w:rsidR="00CC10AD">
        <w:rPr>
          <w:rFonts w:ascii="Times New Roman" w:hAnsi="Times New Roman" w:cs="Times New Roman"/>
          <w:lang w:val="fr-CA"/>
        </w:rPr>
        <w:t xml:space="preserve"> </w:t>
      </w:r>
      <w:r w:rsidR="00832C51">
        <w:rPr>
          <w:rFonts w:ascii="Times New Roman" w:hAnsi="Times New Roman" w:cs="Times New Roman"/>
          <w:lang w:val="fr-CA"/>
        </w:rPr>
        <w:t>Pour moi, travailler 5 semaines de plus par année au Canada, par rapport à la France, n’est pas un si grand inconvénient</w:t>
      </w:r>
      <w:r w:rsidR="006634E1">
        <w:rPr>
          <w:rFonts w:ascii="Times New Roman" w:hAnsi="Times New Roman" w:cs="Times New Roman"/>
          <w:lang w:val="fr-CA"/>
        </w:rPr>
        <w:t>. Pour ces</w:t>
      </w:r>
      <w:r w:rsidR="00832C51">
        <w:rPr>
          <w:rFonts w:ascii="Times New Roman" w:hAnsi="Times New Roman" w:cs="Times New Roman"/>
          <w:lang w:val="fr-CA"/>
        </w:rPr>
        <w:t xml:space="preserve"> raison</w:t>
      </w:r>
      <w:r w:rsidR="006634E1">
        <w:rPr>
          <w:rFonts w:ascii="Times New Roman" w:hAnsi="Times New Roman" w:cs="Times New Roman"/>
          <w:lang w:val="fr-CA"/>
        </w:rPr>
        <w:t>s,</w:t>
      </w:r>
      <w:r w:rsidR="00832C51">
        <w:rPr>
          <w:rFonts w:ascii="Times New Roman" w:hAnsi="Times New Roman" w:cs="Times New Roman"/>
          <w:lang w:val="fr-CA"/>
        </w:rPr>
        <w:t xml:space="preserve"> je préfère demeurer au Can</w:t>
      </w:r>
      <w:r w:rsidR="009214BF">
        <w:rPr>
          <w:rFonts w:ascii="Times New Roman" w:hAnsi="Times New Roman" w:cs="Times New Roman"/>
          <w:lang w:val="fr-CA"/>
        </w:rPr>
        <w:t>a</w:t>
      </w:r>
      <w:r w:rsidR="00832C51">
        <w:rPr>
          <w:rFonts w:ascii="Times New Roman" w:hAnsi="Times New Roman" w:cs="Times New Roman"/>
          <w:lang w:val="fr-CA"/>
        </w:rPr>
        <w:t xml:space="preserve">da plutôt que de déménager en </w:t>
      </w:r>
      <w:r w:rsidR="0024561E">
        <w:rPr>
          <w:rFonts w:ascii="Times New Roman" w:hAnsi="Times New Roman" w:cs="Times New Roman"/>
          <w:lang w:val="fr-CA"/>
        </w:rPr>
        <w:t>France.</w:t>
      </w:r>
    </w:p>
    <w:p w14:paraId="009DBBC4" w14:textId="77777777" w:rsidR="0024561E" w:rsidRDefault="0024561E" w:rsidP="0024561E">
      <w:pPr>
        <w:spacing w:line="480" w:lineRule="auto"/>
        <w:jc w:val="center"/>
        <w:rPr>
          <w:rFonts w:ascii="Times New Roman" w:hAnsi="Times New Roman" w:cs="Times New Roman"/>
          <w:b/>
          <w:lang w:val="fr-CA"/>
        </w:rPr>
      </w:pPr>
    </w:p>
    <w:p w14:paraId="011C1AB6" w14:textId="69C7F013" w:rsidR="0024561E" w:rsidRDefault="0024561E" w:rsidP="0024561E">
      <w:pPr>
        <w:spacing w:line="480" w:lineRule="auto"/>
        <w:jc w:val="center"/>
        <w:rPr>
          <w:rFonts w:ascii="Times New Roman" w:hAnsi="Times New Roman" w:cs="Times New Roman"/>
          <w:b/>
          <w:lang w:val="fr-CA"/>
        </w:rPr>
      </w:pPr>
      <w:r w:rsidRPr="0024561E">
        <w:rPr>
          <w:rFonts w:ascii="Times New Roman" w:hAnsi="Times New Roman" w:cs="Times New Roman"/>
          <w:b/>
          <w:lang w:val="fr-CA"/>
        </w:rPr>
        <w:t>335 mots</w:t>
      </w:r>
    </w:p>
    <w:p w14:paraId="3E390A12" w14:textId="77777777" w:rsidR="0024561E" w:rsidRPr="0024561E" w:rsidRDefault="0024561E" w:rsidP="0024561E">
      <w:pPr>
        <w:spacing w:line="480" w:lineRule="auto"/>
        <w:jc w:val="center"/>
        <w:rPr>
          <w:rFonts w:ascii="Times New Roman" w:hAnsi="Times New Roman" w:cs="Times New Roman"/>
          <w:b/>
          <w:lang w:val="fr-CA"/>
        </w:rPr>
      </w:pPr>
    </w:p>
    <w:p w14:paraId="3651F12A" w14:textId="77777777" w:rsidR="0024561E" w:rsidRDefault="0024561E" w:rsidP="00902A4E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</w:p>
    <w:p w14:paraId="2D443367" w14:textId="2C74B3B6" w:rsidR="0024561E" w:rsidRDefault="00E125EB" w:rsidP="00902A4E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  <w:r w:rsidRPr="00E125EB">
        <w:rPr>
          <w:rFonts w:ascii="Times New Roman" w:hAnsi="Times New Roman" w:cs="Times New Roman"/>
          <w:b/>
          <w:u w:val="single"/>
          <w:lang w:val="fr-CA"/>
        </w:rPr>
        <w:t>Sources utilisés</w:t>
      </w:r>
      <w:r>
        <w:rPr>
          <w:rFonts w:ascii="Times New Roman" w:hAnsi="Times New Roman" w:cs="Times New Roman"/>
          <w:lang w:val="fr-CA"/>
        </w:rPr>
        <w:t xml:space="preserve"> : </w:t>
      </w:r>
    </w:p>
    <w:p w14:paraId="0026F4E8" w14:textId="3B0FE112" w:rsidR="00C9774E" w:rsidRDefault="00C9774E" w:rsidP="00902A4E">
      <w:pPr>
        <w:spacing w:line="480" w:lineRule="auto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Pour le Canada :</w:t>
      </w:r>
    </w:p>
    <w:p w14:paraId="02BAA979" w14:textId="03B1CCB4" w:rsidR="00445F3A" w:rsidRDefault="00E125EB" w:rsidP="00E125EB">
      <w:pPr>
        <w:pStyle w:val="Pardeliste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hyperlink r:id="rId6" w:history="1">
        <w:r w:rsidRPr="00870448">
          <w:rPr>
            <w:rStyle w:val="Lienhypertexte"/>
            <w:rFonts w:ascii="Times New Roman" w:hAnsi="Times New Roman" w:cs="Times New Roman"/>
          </w:rPr>
          <w:t>http://www.keepeek.com/Digital-A</w:t>
        </w:r>
        <w:r w:rsidRPr="00870448">
          <w:rPr>
            <w:rStyle w:val="Lienhypertexte"/>
            <w:rFonts w:ascii="Times New Roman" w:hAnsi="Times New Roman" w:cs="Times New Roman"/>
          </w:rPr>
          <w:t>s</w:t>
        </w:r>
        <w:r w:rsidRPr="00870448">
          <w:rPr>
            <w:rStyle w:val="Lienhypertexte"/>
            <w:rFonts w:ascii="Times New Roman" w:hAnsi="Times New Roman" w:cs="Times New Roman"/>
          </w:rPr>
          <w:t>set-Management/oecd/economics/etudes-economiques-de-l-ocde-canada-2016/statistiques-de-base-du-canada-2015_eco_surveys-can-2016-1-fr#page1</w:t>
        </w:r>
      </w:hyperlink>
    </w:p>
    <w:p w14:paraId="6B3A331F" w14:textId="2715EC37" w:rsidR="00C9774E" w:rsidRDefault="00C9774E" w:rsidP="00C9774E">
      <w:pPr>
        <w:pStyle w:val="Pardeliste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la France :</w:t>
      </w:r>
    </w:p>
    <w:p w14:paraId="67811C5B" w14:textId="4CA739C2" w:rsidR="00E125EB" w:rsidRDefault="00E125EB" w:rsidP="00E125EB">
      <w:pPr>
        <w:pStyle w:val="Pardeliste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hyperlink r:id="rId7" w:history="1">
        <w:r w:rsidRPr="00870448">
          <w:rPr>
            <w:rStyle w:val="Lienhypertexte"/>
            <w:rFonts w:ascii="Times New Roman" w:hAnsi="Times New Roman" w:cs="Times New Roman"/>
          </w:rPr>
          <w:t>http://www.keepeek.com/Digital-Asset-Management/oecd/economics/etudes-economiques-de-l-ocde-france-2015/statistiques-de-base-de-la-france-2013_eco_surveys-fra-2015-1-fr#page1</w:t>
        </w:r>
      </w:hyperlink>
    </w:p>
    <w:p w14:paraId="00E66408" w14:textId="77777777" w:rsidR="00E125EB" w:rsidRPr="00C9774E" w:rsidRDefault="00E125EB" w:rsidP="00C9774E">
      <w:pPr>
        <w:spacing w:line="480" w:lineRule="auto"/>
        <w:ind w:left="360"/>
        <w:rPr>
          <w:rFonts w:ascii="Times New Roman" w:hAnsi="Times New Roman" w:cs="Times New Roman"/>
        </w:rPr>
      </w:pPr>
    </w:p>
    <w:sectPr w:rsidR="00E125EB" w:rsidRPr="00C9774E" w:rsidSect="002D6C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2644"/>
    <w:multiLevelType w:val="hybridMultilevel"/>
    <w:tmpl w:val="EF763F08"/>
    <w:lvl w:ilvl="0" w:tplc="D820F02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07EB2"/>
    <w:multiLevelType w:val="hybridMultilevel"/>
    <w:tmpl w:val="1186B59A"/>
    <w:lvl w:ilvl="0" w:tplc="E4CE6B0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A1"/>
    <w:rsid w:val="001A08D8"/>
    <w:rsid w:val="001C1D76"/>
    <w:rsid w:val="002413B3"/>
    <w:rsid w:val="0024561E"/>
    <w:rsid w:val="002500EA"/>
    <w:rsid w:val="002D6C4E"/>
    <w:rsid w:val="00392A05"/>
    <w:rsid w:val="004303C7"/>
    <w:rsid w:val="00445F3A"/>
    <w:rsid w:val="004A6F9A"/>
    <w:rsid w:val="004E4E78"/>
    <w:rsid w:val="004F7027"/>
    <w:rsid w:val="0051024E"/>
    <w:rsid w:val="00576BE2"/>
    <w:rsid w:val="00597851"/>
    <w:rsid w:val="006634E1"/>
    <w:rsid w:val="006A7B4F"/>
    <w:rsid w:val="00747638"/>
    <w:rsid w:val="007515E9"/>
    <w:rsid w:val="00754D9E"/>
    <w:rsid w:val="008270E5"/>
    <w:rsid w:val="00832C51"/>
    <w:rsid w:val="008550B4"/>
    <w:rsid w:val="00902A4E"/>
    <w:rsid w:val="009214BF"/>
    <w:rsid w:val="00A355D6"/>
    <w:rsid w:val="00B62F4D"/>
    <w:rsid w:val="00B71A8F"/>
    <w:rsid w:val="00BA51A1"/>
    <w:rsid w:val="00BD032A"/>
    <w:rsid w:val="00C9774E"/>
    <w:rsid w:val="00CB7C4B"/>
    <w:rsid w:val="00CC04AF"/>
    <w:rsid w:val="00CC10AD"/>
    <w:rsid w:val="00D15407"/>
    <w:rsid w:val="00D97F97"/>
    <w:rsid w:val="00DB76E8"/>
    <w:rsid w:val="00DD5B57"/>
    <w:rsid w:val="00E125EB"/>
    <w:rsid w:val="00E65C84"/>
    <w:rsid w:val="00F6142F"/>
    <w:rsid w:val="00FA13BD"/>
    <w:rsid w:val="00FA675B"/>
    <w:rsid w:val="00F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DA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1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E125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5EB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E12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eepeek.com/Digital-Asset-Management/oecd/economics/etudes-economiques-de-l-ocde-canada-2016/statistiques-de-base-du-canada-2015_eco_surveys-can-2016-1-fr#page1" TargetMode="External"/><Relationship Id="rId7" Type="http://schemas.openxmlformats.org/officeDocument/2006/relationships/hyperlink" Target="http://www.keepeek.com/Digital-Asset-Management/oecd/economics/etudes-economiques-de-l-ocde-france-2015/statistiques-de-base-de-la-france-2013_eco_surveys-fra-2015-1-fr#page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817DF-FB5C-7D48-9751-2698591F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529</Words>
  <Characters>2884</Characters>
  <Application>Microsoft Macintosh Word</Application>
  <DocSecurity>0</DocSecurity>
  <Lines>96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29</cp:revision>
  <dcterms:created xsi:type="dcterms:W3CDTF">2017-03-29T18:44:00Z</dcterms:created>
  <dcterms:modified xsi:type="dcterms:W3CDTF">2017-03-30T23:40:00Z</dcterms:modified>
</cp:coreProperties>
</file>